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ABB9F" w14:textId="77777777" w:rsidR="00DC0E11" w:rsidRDefault="00DC0E11" w:rsidP="00DC0E11">
      <w:pPr>
        <w:pStyle w:val="Titel"/>
        <w:pBdr>
          <w:top w:val="none" w:sz="0" w:space="0" w:color="auto"/>
        </w:pBdr>
        <w:rPr>
          <w:color w:val="auto"/>
        </w:rPr>
      </w:pPr>
    </w:p>
    <w:p w14:paraId="269C6EBF" w14:textId="65167822" w:rsidR="00DC0E11" w:rsidRDefault="005F294A" w:rsidP="00DC0E11">
      <w:pPr>
        <w:pStyle w:val="Titel"/>
        <w:pBdr>
          <w:top w:val="none" w:sz="0" w:space="0" w:color="auto"/>
        </w:pBdr>
        <w:rPr>
          <w:color w:val="auto"/>
        </w:rPr>
      </w:pPr>
      <w:r w:rsidRPr="007854B7">
        <w:rPr>
          <w:noProof/>
          <w:lang w:val="nl-NL" w:eastAsia="nl-NL"/>
        </w:rPr>
        <w:drawing>
          <wp:inline distT="0" distB="0" distL="0" distR="0" wp14:anchorId="58D18971" wp14:editId="79928844">
            <wp:extent cx="1032692" cy="729338"/>
            <wp:effectExtent l="0" t="0" r="8890" b="762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5232" cy="794694"/>
                    </a:xfrm>
                    <a:prstGeom prst="rect">
                      <a:avLst/>
                    </a:prstGeom>
                  </pic:spPr>
                </pic:pic>
              </a:graphicData>
            </a:graphic>
          </wp:inline>
        </w:drawing>
      </w:r>
      <w:r>
        <w:rPr>
          <w:noProof/>
          <w:lang w:val="nl-NL" w:eastAsia="nl-NL"/>
        </w:rPr>
        <w:drawing>
          <wp:inline distT="0" distB="0" distL="0" distR="0" wp14:anchorId="59F98313" wp14:editId="54266730">
            <wp:extent cx="3412855" cy="750422"/>
            <wp:effectExtent l="0" t="0" r="0" b="1206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left_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05365" cy="770763"/>
                    </a:xfrm>
                    <a:prstGeom prst="rect">
                      <a:avLst/>
                    </a:prstGeom>
                  </pic:spPr>
                </pic:pic>
              </a:graphicData>
            </a:graphic>
          </wp:inline>
        </w:drawing>
      </w:r>
      <w:r w:rsidRPr="007854B7">
        <w:rPr>
          <w:noProof/>
          <w:lang w:val="nl-NL" w:eastAsia="nl-NL"/>
        </w:rPr>
        <w:drawing>
          <wp:inline distT="0" distB="0" distL="0" distR="0" wp14:anchorId="2A0B9881" wp14:editId="19E652C6">
            <wp:extent cx="862312" cy="688068"/>
            <wp:effectExtent l="0" t="0" r="190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8600" cy="748940"/>
                    </a:xfrm>
                    <a:prstGeom prst="rect">
                      <a:avLst/>
                    </a:prstGeom>
                  </pic:spPr>
                </pic:pic>
              </a:graphicData>
            </a:graphic>
          </wp:inline>
        </w:drawing>
      </w:r>
    </w:p>
    <w:p w14:paraId="5A5160C3" w14:textId="6FD04AD4" w:rsidR="00DC0E11" w:rsidRDefault="005F294A" w:rsidP="00DC0E11">
      <w:pPr>
        <w:pStyle w:val="Titel"/>
        <w:pBdr>
          <w:top w:val="none" w:sz="0" w:space="0" w:color="auto"/>
        </w:pBdr>
        <w:rPr>
          <w:color w:val="auto"/>
        </w:rPr>
      </w:pPr>
      <w:r>
        <w:rPr>
          <w:noProof/>
          <w:lang w:val="nl-NL" w:eastAsia="nl-NL"/>
        </w:rPr>
        <mc:AlternateContent>
          <mc:Choice Requires="wps">
            <w:drawing>
              <wp:anchor distT="0" distB="0" distL="114300" distR="114300" simplePos="0" relativeHeight="251659264" behindDoc="0" locked="0" layoutInCell="1" allowOverlap="1" wp14:anchorId="6138471E" wp14:editId="10E1FCA1">
                <wp:simplePos x="0" y="0"/>
                <wp:positionH relativeFrom="column">
                  <wp:posOffset>2522855</wp:posOffset>
                </wp:positionH>
                <wp:positionV relativeFrom="paragraph">
                  <wp:posOffset>437515</wp:posOffset>
                </wp:positionV>
                <wp:extent cx="3810000" cy="2055495"/>
                <wp:effectExtent l="0" t="0" r="25400" b="27305"/>
                <wp:wrapThrough wrapText="bothSides">
                  <wp:wrapPolygon edited="0">
                    <wp:start x="0" y="0"/>
                    <wp:lineTo x="0" y="21620"/>
                    <wp:lineTo x="21600" y="21620"/>
                    <wp:lineTo x="21600" y="0"/>
                    <wp:lineTo x="0" y="0"/>
                  </wp:wrapPolygon>
                </wp:wrapThrough>
                <wp:docPr id="17" name="Rechthoek 17"/>
                <wp:cNvGraphicFramePr/>
                <a:graphic xmlns:a="http://schemas.openxmlformats.org/drawingml/2006/main">
                  <a:graphicData uri="http://schemas.microsoft.com/office/word/2010/wordprocessingShape">
                    <wps:wsp>
                      <wps:cNvSpPr/>
                      <wps:spPr>
                        <a:xfrm>
                          <a:off x="0" y="0"/>
                          <a:ext cx="3810000" cy="205549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53BCAE" w14:textId="77777777" w:rsidR="00FC3289" w:rsidRDefault="00FC3289" w:rsidP="005F294A">
                            <w:pPr>
                              <w:jc w:val="center"/>
                              <w:rPr>
                                <w:b/>
                                <w:color w:val="000000" w:themeColor="text1"/>
                                <w:sz w:val="36"/>
                                <w:szCs w:val="36"/>
                                <w:lang w:val="nl-BE"/>
                              </w:rPr>
                            </w:pPr>
                          </w:p>
                          <w:p w14:paraId="02C95CE1" w14:textId="32320C65" w:rsidR="00DF40CA" w:rsidRDefault="00DF40CA" w:rsidP="005F294A">
                            <w:pPr>
                              <w:jc w:val="center"/>
                              <w:rPr>
                                <w:b/>
                                <w:color w:val="000000" w:themeColor="text1"/>
                                <w:sz w:val="36"/>
                                <w:szCs w:val="36"/>
                                <w:lang w:val="nl-BE"/>
                              </w:rPr>
                            </w:pPr>
                            <w:r w:rsidRPr="00C0227E">
                              <w:rPr>
                                <w:b/>
                                <w:color w:val="000000" w:themeColor="text1"/>
                                <w:sz w:val="36"/>
                                <w:szCs w:val="36"/>
                                <w:lang w:val="nl-BE"/>
                              </w:rPr>
                              <w:t>SECTION 3: EVALUATING AND STIMULATING IN</w:t>
                            </w:r>
                            <w:r w:rsidR="00B2639C">
                              <w:rPr>
                                <w:b/>
                                <w:color w:val="000000" w:themeColor="text1"/>
                                <w:sz w:val="36"/>
                                <w:szCs w:val="36"/>
                                <w:lang w:val="nl-BE"/>
                              </w:rPr>
                              <w:t>CLUSIVE PRACTICE</w:t>
                            </w:r>
                            <w:bookmarkStart w:id="0" w:name="_GoBack"/>
                            <w:bookmarkEnd w:id="0"/>
                            <w:r>
                              <w:rPr>
                                <w:b/>
                                <w:color w:val="000000" w:themeColor="text1"/>
                                <w:sz w:val="36"/>
                                <w:szCs w:val="36"/>
                                <w:lang w:val="nl-BE"/>
                              </w:rPr>
                              <w:t xml:space="preserve"> IN CLASSROOMS</w:t>
                            </w:r>
                          </w:p>
                          <w:p w14:paraId="01FCD798" w14:textId="77777777" w:rsidR="00DF40CA" w:rsidRDefault="00DF40CA" w:rsidP="005F294A">
                            <w:pPr>
                              <w:jc w:val="center"/>
                              <w:rPr>
                                <w:b/>
                                <w:color w:val="000000" w:themeColor="text1"/>
                                <w:sz w:val="36"/>
                                <w:szCs w:val="36"/>
                                <w:lang w:val="nl-BE"/>
                              </w:rPr>
                            </w:pPr>
                          </w:p>
                          <w:p w14:paraId="5BE78A02" w14:textId="77777777" w:rsidR="00DF40CA" w:rsidRDefault="00DF40CA" w:rsidP="005F294A">
                            <w:pPr>
                              <w:jc w:val="center"/>
                              <w:rPr>
                                <w:b/>
                                <w:color w:val="000000" w:themeColor="text1"/>
                                <w:sz w:val="36"/>
                                <w:szCs w:val="36"/>
                                <w:lang w:val="nl-BE"/>
                              </w:rPr>
                            </w:pPr>
                          </w:p>
                          <w:p w14:paraId="5CA64A82" w14:textId="77777777" w:rsidR="00DF40CA" w:rsidRDefault="00DF40CA" w:rsidP="005F294A">
                            <w:pPr>
                              <w:jc w:val="center"/>
                              <w:rPr>
                                <w:b/>
                                <w:color w:val="000000" w:themeColor="text1"/>
                                <w:sz w:val="36"/>
                                <w:szCs w:val="36"/>
                                <w:lang w:val="nl-BE"/>
                              </w:rPr>
                            </w:pPr>
                          </w:p>
                          <w:p w14:paraId="728542FA" w14:textId="77777777" w:rsidR="00DF40CA" w:rsidRPr="00C0227E" w:rsidRDefault="00DF40CA" w:rsidP="005F294A">
                            <w:pPr>
                              <w:jc w:val="center"/>
                              <w:rPr>
                                <w:b/>
                                <w:color w:val="000000" w:themeColor="text1"/>
                                <w:sz w:val="36"/>
                                <w:szCs w:val="36"/>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8471E" id="Rechthoek_x0020_17" o:spid="_x0000_s1026" style="position:absolute;left:0;text-align:left;margin-left:198.65pt;margin-top:34.45pt;width:300pt;height:16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DrTZACAAB7BQAADgAAAGRycy9lMm9Eb2MueG1srFRfT9swEH+ftO9g+X0k7doBFSmqQEyTEEPA&#10;xLPr2E00x+ed3Sbdp9/ZSUMFaA/T+uDe5e5+9/8uLrvGsJ1CX4Mt+OQk50xZCWVtNwX/8XTz6Ywz&#10;H4QthQGrCr5Xnl8uP364aN1CTaECUypkBGL9onUFr0JwiyzzslKN8CfglCWhBmxEIBY3WYmiJfTG&#10;ZNM8/5K1gKVDkMp7+nrdC/ky4WutZPiutVeBmYJTbCG9mN51fLPlhVhsULiqlkMY4h+iaERtyekI&#10;dS2CYFus30A1tUTwoMOJhCYDrWupUg6UzSR/lc1jJZxKuVBxvBvL5P8frLzb3SOrS+rdKWdWNNSj&#10;ByWrUIH6yegbFah1fkF6j+4eB84TGbPtNDbxn/JgXSrqfiyq6gKT9PHz2SSnH2eSZNN8Pp+dzyNq&#10;9mLu0IevChoWiYIjdS0VU+xufehVDyrRmwdTlze1MYnBzfrKINsJ6vD59Dqfp6YS+pFaFlPog05U&#10;2BsVjY19UJqypzCnyWOaOzXiCSmVDZNeVIlS9W7mKaE+sNEiZZQAI7Km8EbsASDO9FvsHmbQj6Yq&#10;je1onP8tsN54tEiewYbRuKkt4HsAhrIaPPf6FP5RaSIZunVHKpFcQ7mnMUHo98c7eVNTq26FD/cC&#10;aWGovXQEwnd6tIG24DBQnFWAv9/7HvVpjknKWUsLWHD/aytQcWa+WZrw88lsFjc2MbP56ZQYPJas&#10;jyV221wBTcCEzo2TiYz6wRxIjdA8061YRa8kElaS74LLgAfmKvSHga6NVKtVUqMtdSLc2kcnI3gs&#10;cBzFp+5ZoBvmNdCo38FhWcXi1dj2utHSwmobQNdppl/qOpSeNjzN0HCN4gk55pPWy81c/gEAAP//&#10;AwBQSwMEFAAGAAgAAAAhAJhVDNrdAAAACgEAAA8AAABkcnMvZG93bnJldi54bWxMj8FOwzAMhu9I&#10;vENkJC6IpWxat5amE0xw22UD7ey1XlponCrJuu7tybjA0f4//f5crEbTiYGcby0reJokIIgrW7es&#10;FXx+vD8uQfiAXGNnmRRcyMOqvL0pMK/tmbc07IIWsYR9jgqaEPpcSl81ZNBPbE8cs6N1BkMcnZa1&#10;w3MsN52cJkkqDbYcLzTY07qh6nt3Mgq+LnrzoOfDej9/e9VugRvX60qp+7vx5RlEoDH8wXDVj+pQ&#10;RqeDPXHtRadgli1mEVWQLjMQEch+F4drMk1BloX8/0L5AwAA//8DAFBLAQItABQABgAIAAAAIQDk&#10;mcPA+wAAAOEBAAATAAAAAAAAAAAAAAAAAAAAAABbQ29udGVudF9UeXBlc10ueG1sUEsBAi0AFAAG&#10;AAgAAAAhACOyauHXAAAAlAEAAAsAAAAAAAAAAAAAAAAALAEAAF9yZWxzLy5yZWxzUEsBAi0AFAAG&#10;AAgAAAAhAOWw602QAgAAewUAAA4AAAAAAAAAAAAAAAAALAIAAGRycy9lMm9Eb2MueG1sUEsBAi0A&#10;FAAGAAgAAAAhAJhVDNrdAAAACgEAAA8AAAAAAAAAAAAAAAAA6AQAAGRycy9kb3ducmV2LnhtbFBL&#10;BQYAAAAABAAEAPMAAADyBQAAAAA=&#10;" fillcolor="#92d050" strokecolor="#7e7400 [1604]" strokeweight="1.5pt">
                <v:textbox>
                  <w:txbxContent>
                    <w:p w14:paraId="7D53BCAE" w14:textId="77777777" w:rsidR="00FC3289" w:rsidRDefault="00FC3289" w:rsidP="005F294A">
                      <w:pPr>
                        <w:jc w:val="center"/>
                        <w:rPr>
                          <w:b/>
                          <w:color w:val="000000" w:themeColor="text1"/>
                          <w:sz w:val="36"/>
                          <w:szCs w:val="36"/>
                          <w:lang w:val="nl-BE"/>
                        </w:rPr>
                      </w:pPr>
                    </w:p>
                    <w:p w14:paraId="02C95CE1" w14:textId="32320C65" w:rsidR="00DF40CA" w:rsidRDefault="00DF40CA" w:rsidP="005F294A">
                      <w:pPr>
                        <w:jc w:val="center"/>
                        <w:rPr>
                          <w:b/>
                          <w:color w:val="000000" w:themeColor="text1"/>
                          <w:sz w:val="36"/>
                          <w:szCs w:val="36"/>
                          <w:lang w:val="nl-BE"/>
                        </w:rPr>
                      </w:pPr>
                      <w:r w:rsidRPr="00C0227E">
                        <w:rPr>
                          <w:b/>
                          <w:color w:val="000000" w:themeColor="text1"/>
                          <w:sz w:val="36"/>
                          <w:szCs w:val="36"/>
                          <w:lang w:val="nl-BE"/>
                        </w:rPr>
                        <w:t>SECTION 3: EVALUATING AND STIMULATING IN</w:t>
                      </w:r>
                      <w:r w:rsidR="00B2639C">
                        <w:rPr>
                          <w:b/>
                          <w:color w:val="000000" w:themeColor="text1"/>
                          <w:sz w:val="36"/>
                          <w:szCs w:val="36"/>
                          <w:lang w:val="nl-BE"/>
                        </w:rPr>
                        <w:t>CLUSIVE PRACTICE</w:t>
                      </w:r>
                      <w:bookmarkStart w:id="1" w:name="_GoBack"/>
                      <w:bookmarkEnd w:id="1"/>
                      <w:r>
                        <w:rPr>
                          <w:b/>
                          <w:color w:val="000000" w:themeColor="text1"/>
                          <w:sz w:val="36"/>
                          <w:szCs w:val="36"/>
                          <w:lang w:val="nl-BE"/>
                        </w:rPr>
                        <w:t xml:space="preserve"> IN CLASSROOMS</w:t>
                      </w:r>
                    </w:p>
                    <w:p w14:paraId="01FCD798" w14:textId="77777777" w:rsidR="00DF40CA" w:rsidRDefault="00DF40CA" w:rsidP="005F294A">
                      <w:pPr>
                        <w:jc w:val="center"/>
                        <w:rPr>
                          <w:b/>
                          <w:color w:val="000000" w:themeColor="text1"/>
                          <w:sz w:val="36"/>
                          <w:szCs w:val="36"/>
                          <w:lang w:val="nl-BE"/>
                        </w:rPr>
                      </w:pPr>
                    </w:p>
                    <w:p w14:paraId="5BE78A02" w14:textId="77777777" w:rsidR="00DF40CA" w:rsidRDefault="00DF40CA" w:rsidP="005F294A">
                      <w:pPr>
                        <w:jc w:val="center"/>
                        <w:rPr>
                          <w:b/>
                          <w:color w:val="000000" w:themeColor="text1"/>
                          <w:sz w:val="36"/>
                          <w:szCs w:val="36"/>
                          <w:lang w:val="nl-BE"/>
                        </w:rPr>
                      </w:pPr>
                    </w:p>
                    <w:p w14:paraId="5CA64A82" w14:textId="77777777" w:rsidR="00DF40CA" w:rsidRDefault="00DF40CA" w:rsidP="005F294A">
                      <w:pPr>
                        <w:jc w:val="center"/>
                        <w:rPr>
                          <w:b/>
                          <w:color w:val="000000" w:themeColor="text1"/>
                          <w:sz w:val="36"/>
                          <w:szCs w:val="36"/>
                          <w:lang w:val="nl-BE"/>
                        </w:rPr>
                      </w:pPr>
                    </w:p>
                    <w:p w14:paraId="728542FA" w14:textId="77777777" w:rsidR="00DF40CA" w:rsidRPr="00C0227E" w:rsidRDefault="00DF40CA" w:rsidP="005F294A">
                      <w:pPr>
                        <w:jc w:val="center"/>
                        <w:rPr>
                          <w:b/>
                          <w:color w:val="000000" w:themeColor="text1"/>
                          <w:sz w:val="36"/>
                          <w:szCs w:val="36"/>
                          <w:lang w:val="nl-BE"/>
                        </w:rPr>
                      </w:pPr>
                    </w:p>
                  </w:txbxContent>
                </v:textbox>
                <w10:wrap type="through"/>
              </v:rect>
            </w:pict>
          </mc:Fallback>
        </mc:AlternateContent>
      </w:r>
    </w:p>
    <w:p w14:paraId="7EFA0EB3" w14:textId="03FA158B" w:rsidR="00DC0E11" w:rsidRDefault="00DC0E11" w:rsidP="00DC0E11">
      <w:pPr>
        <w:pStyle w:val="Titel"/>
        <w:pBdr>
          <w:top w:val="none" w:sz="0" w:space="0" w:color="auto"/>
        </w:pBdr>
        <w:rPr>
          <w:color w:val="auto"/>
        </w:rPr>
      </w:pPr>
    </w:p>
    <w:p w14:paraId="5A12DE83" w14:textId="02EEBE96" w:rsidR="00DC0E11" w:rsidRDefault="00DC0E11" w:rsidP="00DC0E11">
      <w:pPr>
        <w:pStyle w:val="Titel"/>
        <w:pBdr>
          <w:top w:val="none" w:sz="0" w:space="0" w:color="auto"/>
        </w:pBdr>
        <w:rPr>
          <w:color w:val="auto"/>
        </w:rPr>
      </w:pPr>
    </w:p>
    <w:p w14:paraId="20EF409A" w14:textId="55D1875B" w:rsidR="00DC0E11" w:rsidRDefault="00DC0E11" w:rsidP="00DC0E11">
      <w:pPr>
        <w:pStyle w:val="Titel"/>
        <w:pBdr>
          <w:top w:val="none" w:sz="0" w:space="0" w:color="auto"/>
        </w:pBdr>
        <w:rPr>
          <w:color w:val="auto"/>
        </w:rPr>
      </w:pPr>
    </w:p>
    <w:p w14:paraId="158E14D6" w14:textId="6F697F53" w:rsidR="00DC0E11" w:rsidRDefault="00DC0E11" w:rsidP="00DC0E11">
      <w:pPr>
        <w:pStyle w:val="Titel"/>
        <w:pBdr>
          <w:top w:val="none" w:sz="0" w:space="0" w:color="auto"/>
        </w:pBdr>
        <w:rPr>
          <w:color w:val="auto"/>
        </w:rPr>
      </w:pPr>
    </w:p>
    <w:p w14:paraId="06C214C3" w14:textId="3D468BA3" w:rsidR="00DC0E11" w:rsidRDefault="005F294A" w:rsidP="00DC0E11">
      <w:pPr>
        <w:pStyle w:val="Titel"/>
        <w:pBdr>
          <w:top w:val="none" w:sz="0" w:space="0" w:color="auto"/>
        </w:pBdr>
        <w:rPr>
          <w:color w:val="auto"/>
        </w:rPr>
      </w:pPr>
      <w:r>
        <w:rPr>
          <w:noProof/>
          <w:lang w:val="nl-NL" w:eastAsia="nl-NL"/>
        </w:rPr>
        <mc:AlternateContent>
          <mc:Choice Requires="wps">
            <w:drawing>
              <wp:anchor distT="0" distB="0" distL="114300" distR="114300" simplePos="0" relativeHeight="251661312" behindDoc="0" locked="0" layoutInCell="1" allowOverlap="1" wp14:anchorId="24A732EC" wp14:editId="48A56F53">
                <wp:simplePos x="0" y="0"/>
                <wp:positionH relativeFrom="column">
                  <wp:posOffset>918845</wp:posOffset>
                </wp:positionH>
                <wp:positionV relativeFrom="paragraph">
                  <wp:posOffset>105410</wp:posOffset>
                </wp:positionV>
                <wp:extent cx="6566535" cy="673735"/>
                <wp:effectExtent l="0" t="0" r="37465" b="37465"/>
                <wp:wrapThrough wrapText="bothSides">
                  <wp:wrapPolygon edited="0">
                    <wp:start x="0" y="0"/>
                    <wp:lineTo x="0" y="21987"/>
                    <wp:lineTo x="21640" y="21987"/>
                    <wp:lineTo x="21640" y="0"/>
                    <wp:lineTo x="0" y="0"/>
                  </wp:wrapPolygon>
                </wp:wrapThrough>
                <wp:docPr id="35" name="Rechthoek 35"/>
                <wp:cNvGraphicFramePr/>
                <a:graphic xmlns:a="http://schemas.openxmlformats.org/drawingml/2006/main">
                  <a:graphicData uri="http://schemas.microsoft.com/office/word/2010/wordprocessingShape">
                    <wps:wsp>
                      <wps:cNvSpPr/>
                      <wps:spPr>
                        <a:xfrm>
                          <a:off x="0" y="0"/>
                          <a:ext cx="6566535" cy="67373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501609" w14:textId="08D02801" w:rsidR="00DF40CA" w:rsidRPr="0044023F" w:rsidRDefault="005F294A" w:rsidP="00DF40CA">
                            <w:pPr>
                              <w:jc w:val="center"/>
                              <w:rPr>
                                <w:b/>
                                <w:color w:val="000000" w:themeColor="text1"/>
                                <w:sz w:val="32"/>
                                <w:szCs w:val="32"/>
                                <w:lang w:val="nl-BE"/>
                              </w:rPr>
                            </w:pPr>
                            <w:r>
                              <w:rPr>
                                <w:b/>
                                <w:color w:val="000000" w:themeColor="text1"/>
                                <w:sz w:val="32"/>
                                <w:szCs w:val="32"/>
                                <w:lang w:val="nl-BE"/>
                              </w:rPr>
                              <w:t>TOOL 1: DEVELOPMENTAL SCALES FOR TEACHING PRACTICE (Flanders)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732EC" id="Rechthoek_x0020_35" o:spid="_x0000_s1027" style="position:absolute;left:0;text-align:left;margin-left:72.35pt;margin-top:8.3pt;width:517.05pt;height:5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jabpkCAACBBQAADgAAAGRycy9lMm9Eb2MueG1srFRNb9swDL0P2H8QdF/tpE26BnWKoEWHAUVX&#10;tB16VmQpNiaLGqXEzn79KNlxg67YYVgOjiiSjx965OVV1xi2U+hrsAWfnOScKSuhrO2m4N+fbz99&#10;5swHYUthwKqC75XnV8uPHy5bt1BTqMCUChmBWL9oXcGrENwiy7ysVCP8CThlSakBGxFIxE1WomgJ&#10;vTHZNM/nWQtYOgSpvKfbm17JlwlfayXDN629CswUnHIL6Yvpu47fbHkpFhsUrqrlkIb4hywaUVsK&#10;OkLdiCDYFus/oJpaInjQ4URCk4HWtVSpBqpmkr+p5qkSTqVaqDnejW3y/w9W3u8ekNVlwU9nnFnR&#10;0Bs9KlmFCtQPRnfUoNb5Bdk9uQccJE/HWG2nsYn/VAfrUlP3Y1NVF5iky/lsPp9FcEm6+fnpeQ+a&#10;vXo79OGLgobFQ8GRHi31UuzufKCIZHowicE8mLq8rY1JAm7W1wbZTtADX0xv8ll6U3I5MstiBX3O&#10;6RT2RkVnYx+VpuIpy2mKmGinRjwhpbJh0qsqUao+zCynX2xMjBKJGj2SlAAjsqb0RuwB4GDZgxyw&#10;e5jBPrqqxNrROf9bYr3z6JEigw2jc1NbwPcADFU1RO7tKf2j1sRj6NZdIkayjDdrKPdEFoR+iryT&#10;tzW92J3w4UEgjQ0NGK2C8I0+2kBbcBhOnFWAv967j/bEZtJy1tIYFtz/3ApUnJmvlnh+MTk7i3Ob&#10;hLPZ+ZQEPNasjzV221wDEWFCS8fJdIz2wRyOGqF5oY2xilFJJayk2AWXAQ/CdejXA+0cqVarZEaz&#10;6kS4s09ORvDY58jI5+5FoBtoG4jw93AYWbF4w97eNnpaWG0D6DpR+7WvwwvQnCcqDTspLpJjOVm9&#10;bs7lbwAAAP//AwBQSwMEFAAGAAgAAAAhAJDjPkPeAAAACwEAAA8AAABkcnMvZG93bnJldi54bWxM&#10;j8FOwzAQRO9I/IO1SFwQdRq1SZXGqaCCWy8UxNlNtk4gXke2m6Z/z/ZEbzPap9mZcjPZXozoQ+dI&#10;wXyWgECqXdORUfD1+f68AhGipkb3jlDBBQNsqvu7UheNO9MHjvtoBIdQKLSCNsahkDLULVodZm5A&#10;4tvReasjW29k4/WZw20v0yTJpNUd8YdWD7htsf7dn6yCn4vZPZnluP1evr0an+udH0yt1OPD9LIG&#10;EXGK/zBc63N1qLjTwZ2oCaJnv1jkjLLIMhBXYJ6veMyBVZrmIKtS3m6o/gAAAP//AwBQSwECLQAU&#10;AAYACAAAACEA5JnDwPsAAADhAQAAEwAAAAAAAAAAAAAAAAAAAAAAW0NvbnRlbnRfVHlwZXNdLnht&#10;bFBLAQItABQABgAIAAAAIQAjsmrh1wAAAJQBAAALAAAAAAAAAAAAAAAAACwBAABfcmVscy8ucmVs&#10;c1BLAQItABQABgAIAAAAIQCVCNpumQIAAIEFAAAOAAAAAAAAAAAAAAAAACwCAABkcnMvZTJvRG9j&#10;LnhtbFBLAQItABQABgAIAAAAIQCQ4z5D3gAAAAsBAAAPAAAAAAAAAAAAAAAAAPEEAABkcnMvZG93&#10;bnJldi54bWxQSwUGAAAAAAQABADzAAAA/AUAAAAA&#10;" fillcolor="#92d050" strokecolor="#7e7400 [1604]" strokeweight="1.5pt">
                <v:textbox>
                  <w:txbxContent>
                    <w:p w14:paraId="5A501609" w14:textId="08D02801" w:rsidR="00DF40CA" w:rsidRPr="0044023F" w:rsidRDefault="005F294A" w:rsidP="00DF40CA">
                      <w:pPr>
                        <w:jc w:val="center"/>
                        <w:rPr>
                          <w:b/>
                          <w:color w:val="000000" w:themeColor="text1"/>
                          <w:sz w:val="32"/>
                          <w:szCs w:val="32"/>
                          <w:lang w:val="nl-BE"/>
                        </w:rPr>
                      </w:pPr>
                      <w:r>
                        <w:rPr>
                          <w:b/>
                          <w:color w:val="000000" w:themeColor="text1"/>
                          <w:sz w:val="32"/>
                          <w:szCs w:val="32"/>
                          <w:lang w:val="nl-BE"/>
                        </w:rPr>
                        <w:t>TOOL 1: DEVELOPMENTAL SCALES FOR TEACHING PRACTICE (Flanders)</w:t>
                      </w:r>
                    </w:p>
                  </w:txbxContent>
                </v:textbox>
                <w10:wrap type="through"/>
              </v:rect>
            </w:pict>
          </mc:Fallback>
        </mc:AlternateContent>
      </w:r>
    </w:p>
    <w:p w14:paraId="5EA32719" w14:textId="77777777" w:rsidR="00DC0E11" w:rsidRDefault="00DC0E11" w:rsidP="00DC0E11">
      <w:pPr>
        <w:pStyle w:val="Titel"/>
        <w:pBdr>
          <w:top w:val="none" w:sz="0" w:space="0" w:color="auto"/>
        </w:pBdr>
        <w:rPr>
          <w:color w:val="auto"/>
        </w:rPr>
      </w:pPr>
    </w:p>
    <w:p w14:paraId="341FD501" w14:textId="77777777" w:rsidR="00DC0E11" w:rsidRDefault="00DC0E11" w:rsidP="00DC0E11">
      <w:pPr>
        <w:pStyle w:val="Titel"/>
        <w:pBdr>
          <w:top w:val="none" w:sz="0" w:space="0" w:color="auto"/>
        </w:pBdr>
        <w:rPr>
          <w:color w:val="auto"/>
        </w:rPr>
      </w:pPr>
    </w:p>
    <w:p w14:paraId="77982461" w14:textId="6B9611E2" w:rsidR="00CE736A" w:rsidRPr="007B3FA9" w:rsidRDefault="007B3FA9" w:rsidP="007B3FA9">
      <w:pPr>
        <w:pStyle w:val="Titel"/>
        <w:pBdr>
          <w:top w:val="single" w:sz="4" w:space="1" w:color="auto"/>
        </w:pBdr>
        <w:rPr>
          <w:color w:val="auto"/>
        </w:rPr>
      </w:pPr>
      <w:r>
        <w:rPr>
          <w:color w:val="auto"/>
        </w:rPr>
        <w:t>developmental scales for teaching practice</w:t>
      </w:r>
    </w:p>
    <w:p w14:paraId="39CB9E14" w14:textId="49E398EC" w:rsidR="00CE736A" w:rsidRPr="007B3FA9" w:rsidRDefault="007E373C" w:rsidP="007B3FA9">
      <w:pPr>
        <w:pStyle w:val="Titelsub"/>
        <w:pBdr>
          <w:bottom w:val="single" w:sz="4" w:space="1" w:color="auto"/>
        </w:pBdr>
        <w:rPr>
          <w:color w:val="auto"/>
        </w:rPr>
      </w:pPr>
      <w:r>
        <w:rPr>
          <w:color w:val="auto"/>
        </w:rPr>
        <w:t>mainstream infant and primary education: primary education</w:t>
      </w:r>
    </w:p>
    <w:p w14:paraId="30FB1AD8" w14:textId="77777777" w:rsidR="00744BC3" w:rsidRDefault="00744BC3" w:rsidP="00744BC3">
      <w:pPr>
        <w:pStyle w:val="Kop1"/>
        <w:numPr>
          <w:ilvl w:val="0"/>
          <w:numId w:val="32"/>
        </w:numPr>
      </w:pPr>
      <w:r>
        <w:t>Information about the developmental scales</w:t>
      </w:r>
    </w:p>
    <w:p w14:paraId="2C41970D" w14:textId="77777777" w:rsidR="00744BC3" w:rsidRDefault="00744BC3" w:rsidP="00744BC3">
      <w:r>
        <w:t>The Education Inspectorate evaluates quality within development scales, which consist of four development levels.</w:t>
      </w:r>
    </w:p>
    <w:p w14:paraId="6B4CAB9B" w14:textId="77777777" w:rsidR="00744BC3" w:rsidRDefault="00744BC3" w:rsidP="00744BC3"/>
    <w:tbl>
      <w:tblPr>
        <w:tblStyle w:val="Tabelraster"/>
        <w:tblpPr w:leftFromText="141" w:rightFromText="141" w:vertAnchor="text" w:tblpY="1"/>
        <w:tblOverlap w:val="never"/>
        <w:tblW w:w="0" w:type="auto"/>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2"/>
      </w:tblGrid>
      <w:tr w:rsidR="00744BC3" w:rsidRPr="007202AC" w14:paraId="4403C308" w14:textId="77777777" w:rsidTr="00200216">
        <w:trPr>
          <w:jc w:val="left"/>
        </w:trPr>
        <w:tc>
          <w:tcPr>
            <w:tcW w:w="2552" w:type="dxa"/>
            <w:shd w:val="clear" w:color="auto" w:fill="FFD9D9"/>
          </w:tcPr>
          <w:p w14:paraId="776049FF" w14:textId="77777777" w:rsidR="00744BC3" w:rsidRPr="007202AC" w:rsidRDefault="00744BC3" w:rsidP="00200216">
            <w:pPr>
              <w:jc w:val="center"/>
              <w:rPr>
                <w:rFonts w:cstheme="minorHAnsi"/>
              </w:rPr>
            </w:pPr>
            <w:r>
              <w:rPr>
                <w:b/>
                <w:smallCaps/>
                <w:color w:val="000000" w:themeColor="text1"/>
              </w:rPr>
              <w:t>below expectations</w:t>
            </w:r>
          </w:p>
        </w:tc>
      </w:tr>
    </w:tbl>
    <w:p w14:paraId="5F5DEC6F" w14:textId="77777777" w:rsidR="00744BC3" w:rsidRDefault="00744BC3" w:rsidP="00744BC3">
      <w:pPr>
        <w:spacing w:line="276" w:lineRule="auto"/>
        <w:ind w:right="425"/>
        <w:jc w:val="both"/>
        <w:rPr>
          <w:rFonts w:asciiTheme="minorHAnsi" w:hAnsiTheme="minorHAnsi" w:cstheme="minorHAnsi"/>
        </w:rPr>
      </w:pPr>
      <w:r>
        <w:rPr>
          <w:rFonts w:asciiTheme="minorHAnsi" w:hAnsiTheme="minorHAnsi"/>
        </w:rPr>
        <w:br w:type="textWrapping" w:clear="all"/>
        <w:t xml:space="preserve">Several key elements can be improved. </w:t>
      </w:r>
    </w:p>
    <w:p w14:paraId="3144590F" w14:textId="77777777" w:rsidR="00744BC3" w:rsidRDefault="00744BC3" w:rsidP="00744BC3"/>
    <w:tbl>
      <w:tblPr>
        <w:tblStyle w:val="Tabelraster"/>
        <w:tblW w:w="0" w:type="auto"/>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2"/>
      </w:tblGrid>
      <w:tr w:rsidR="00744BC3" w:rsidRPr="007202AC" w14:paraId="35F13DDA" w14:textId="77777777" w:rsidTr="00200216">
        <w:trPr>
          <w:jc w:val="left"/>
        </w:trPr>
        <w:tc>
          <w:tcPr>
            <w:tcW w:w="2552" w:type="dxa"/>
            <w:shd w:val="clear" w:color="auto" w:fill="FFF2CC" w:themeFill="accent2" w:themeFillTint="33"/>
          </w:tcPr>
          <w:p w14:paraId="26195C28" w14:textId="77777777" w:rsidR="00744BC3" w:rsidRPr="007202AC" w:rsidRDefault="00744BC3" w:rsidP="00200216">
            <w:pPr>
              <w:jc w:val="center"/>
              <w:rPr>
                <w:b/>
                <w:iCs/>
                <w:smallCaps/>
                <w:color w:val="000000" w:themeColor="text1"/>
              </w:rPr>
            </w:pPr>
            <w:r>
              <w:rPr>
                <w:b/>
                <w:iCs/>
                <w:smallCaps/>
                <w:color w:val="000000" w:themeColor="text1"/>
              </w:rPr>
              <w:t>approaches expectations</w:t>
            </w:r>
          </w:p>
        </w:tc>
      </w:tr>
    </w:tbl>
    <w:p w14:paraId="02DEAD70" w14:textId="77777777" w:rsidR="00744BC3" w:rsidRPr="003B595D" w:rsidRDefault="00744BC3" w:rsidP="00744BC3">
      <w:pPr>
        <w:spacing w:line="276" w:lineRule="auto"/>
        <w:ind w:right="425"/>
        <w:jc w:val="both"/>
        <w:rPr>
          <w:rFonts w:cs="Calibri"/>
          <w:iCs/>
          <w:shd w:val="clear" w:color="auto" w:fill="FFFFFF"/>
        </w:rPr>
      </w:pPr>
      <w:r>
        <w:rPr>
          <w:shd w:val="clear" w:color="auto" w:fill="FFFFFF"/>
        </w:rPr>
        <w:t>In addition to strengths, there are also a number of points for improvement. As a result, it still does not fully meet expectations.</w:t>
      </w:r>
    </w:p>
    <w:p w14:paraId="33B061FA" w14:textId="77777777" w:rsidR="00744BC3" w:rsidRPr="007202AC" w:rsidRDefault="00744BC3" w:rsidP="00744BC3">
      <w:pPr>
        <w:rPr>
          <w:b/>
        </w:rPr>
      </w:pPr>
    </w:p>
    <w:tbl>
      <w:tblPr>
        <w:tblStyle w:val="Tabelraster"/>
        <w:tblW w:w="0" w:type="auto"/>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2"/>
      </w:tblGrid>
      <w:tr w:rsidR="00744BC3" w:rsidRPr="007202AC" w14:paraId="1F863F29" w14:textId="77777777" w:rsidTr="00200216">
        <w:trPr>
          <w:jc w:val="left"/>
        </w:trPr>
        <w:tc>
          <w:tcPr>
            <w:tcW w:w="2552" w:type="dxa"/>
            <w:shd w:val="clear" w:color="auto" w:fill="EAF1DD" w:themeFill="accent5" w:themeFillTint="33"/>
          </w:tcPr>
          <w:p w14:paraId="10AB87D2" w14:textId="77777777" w:rsidR="00744BC3" w:rsidRPr="007202AC" w:rsidRDefault="00744BC3" w:rsidP="00200216">
            <w:pPr>
              <w:jc w:val="center"/>
              <w:rPr>
                <w:b/>
                <w:smallCaps/>
                <w:color w:val="000000" w:themeColor="text1"/>
              </w:rPr>
            </w:pPr>
            <w:r>
              <w:rPr>
                <w:b/>
                <w:smallCaps/>
                <w:color w:val="000000" w:themeColor="text1"/>
              </w:rPr>
              <w:t>meets expectations</w:t>
            </w:r>
          </w:p>
        </w:tc>
      </w:tr>
    </w:tbl>
    <w:p w14:paraId="7C31C063" w14:textId="77777777" w:rsidR="00744BC3" w:rsidRDefault="00744BC3" w:rsidP="00744BC3">
      <w:pPr>
        <w:spacing w:line="276" w:lineRule="auto"/>
        <w:ind w:right="425"/>
        <w:jc w:val="both"/>
        <w:rPr>
          <w:rFonts w:asciiTheme="minorHAnsi" w:hAnsiTheme="minorHAnsi" w:cstheme="minorHAnsi"/>
        </w:rPr>
      </w:pPr>
      <w:r>
        <w:t>There are many strengths and no major points or areas for improvement.</w:t>
      </w:r>
      <w:r>
        <w:rPr>
          <w:rFonts w:asciiTheme="minorHAnsi" w:hAnsiTheme="minorHAnsi"/>
        </w:rPr>
        <w:t xml:space="preserve"> The whole is in line with expectations. </w:t>
      </w:r>
    </w:p>
    <w:p w14:paraId="1BAE9485" w14:textId="77777777" w:rsidR="00744BC3" w:rsidRDefault="00744BC3" w:rsidP="00744BC3"/>
    <w:tbl>
      <w:tblPr>
        <w:tblStyle w:val="Tabelraster"/>
        <w:tblW w:w="0" w:type="auto"/>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2"/>
      </w:tblGrid>
      <w:tr w:rsidR="00744BC3" w:rsidRPr="007202AC" w14:paraId="5DD0F9E9" w14:textId="77777777" w:rsidTr="00200216">
        <w:trPr>
          <w:jc w:val="left"/>
        </w:trPr>
        <w:tc>
          <w:tcPr>
            <w:tcW w:w="2552" w:type="dxa"/>
            <w:shd w:val="clear" w:color="auto" w:fill="DBE5F1" w:themeFill="accent3" w:themeFillTint="33"/>
          </w:tcPr>
          <w:p w14:paraId="13848437" w14:textId="77777777" w:rsidR="00744BC3" w:rsidRPr="007202AC" w:rsidRDefault="00744BC3" w:rsidP="00200216">
            <w:pPr>
              <w:jc w:val="center"/>
              <w:rPr>
                <w:rFonts w:cstheme="minorHAnsi"/>
              </w:rPr>
            </w:pPr>
            <w:r>
              <w:rPr>
                <w:b/>
                <w:iCs/>
                <w:smallCaps/>
                <w:color w:val="000000" w:themeColor="text1"/>
              </w:rPr>
              <w:t>exceeds expectations</w:t>
            </w:r>
          </w:p>
        </w:tc>
      </w:tr>
    </w:tbl>
    <w:p w14:paraId="351047DF" w14:textId="77777777" w:rsidR="00744BC3" w:rsidRPr="004211D6" w:rsidRDefault="00744BC3" w:rsidP="00744BC3">
      <w:pPr>
        <w:spacing w:line="276" w:lineRule="auto"/>
        <w:ind w:right="425"/>
        <w:jc w:val="both"/>
        <w:rPr>
          <w:rFonts w:asciiTheme="minorHAnsi" w:hAnsiTheme="minorHAnsi" w:cstheme="minorHAnsi"/>
        </w:rPr>
      </w:pPr>
      <w:r>
        <w:rPr>
          <w:rFonts w:asciiTheme="minorHAnsi" w:hAnsiTheme="minorHAnsi"/>
        </w:rPr>
        <w:t xml:space="preserve">There are many strengths including significant examples of good practice. </w:t>
      </w:r>
    </w:p>
    <w:p w14:paraId="4CA202E3" w14:textId="77777777" w:rsidR="00744BC3" w:rsidRDefault="00744BC3" w:rsidP="00744BC3">
      <w:pPr>
        <w:spacing w:after="120"/>
        <w:rPr>
          <w:color w:val="000000" w:themeColor="text1"/>
        </w:rPr>
      </w:pPr>
    </w:p>
    <w:p w14:paraId="7E55A63D" w14:textId="50C62917" w:rsidR="00744BC3" w:rsidRPr="00744BC3" w:rsidRDefault="00744BC3" w:rsidP="00744BC3">
      <w:pPr>
        <w:rPr>
          <w:rStyle w:val="Nadruk"/>
          <w:b w:val="0"/>
          <w:i w:val="0"/>
          <w:color w:val="auto"/>
        </w:rPr>
      </w:pPr>
      <w:r>
        <w:rPr>
          <w:shd w:val="clear" w:color="auto" w:fill="FFFFFF"/>
        </w:rPr>
        <w:t>The development level “meets expectations” means that the school meets the quality expectations of the reference framework for quality in education (OK). It is the target for every school. The development level “exceeds expectations” means there is also an example of good practice. An example of good practice exceeds the usual expectations and has a positive impact on the results and effects of pupils. An example of good practice is often strongly embedded in the functioning of the school or a sub-team, is also validated and may inspire other schools or sub-teams.</w:t>
      </w:r>
    </w:p>
    <w:p w14:paraId="071D5D05" w14:textId="11C27017" w:rsidR="0065387C" w:rsidRPr="002339E2" w:rsidRDefault="0065387C" w:rsidP="007B3FA9">
      <w:pPr>
        <w:pStyle w:val="Nummering"/>
        <w:numPr>
          <w:ilvl w:val="0"/>
          <w:numId w:val="0"/>
        </w:numPr>
        <w:rPr>
          <w:color w:val="000000" w:themeColor="text1"/>
        </w:rPr>
      </w:pPr>
      <w:r>
        <w:br w:type="page"/>
      </w:r>
    </w:p>
    <w:p w14:paraId="0C8640F1" w14:textId="2C5CDB6C" w:rsidR="0065387C" w:rsidRPr="002339E2" w:rsidRDefault="0065387C" w:rsidP="00744BC3">
      <w:pPr>
        <w:pStyle w:val="Kop1"/>
        <w:numPr>
          <w:ilvl w:val="0"/>
          <w:numId w:val="32"/>
        </w:numPr>
        <w:rPr>
          <w:color w:val="000000" w:themeColor="text1"/>
        </w:rPr>
      </w:pPr>
      <w:r>
        <w:lastRenderedPageBreak/>
        <w:t>The development scales</w:t>
      </w:r>
    </w:p>
    <w:p w14:paraId="157612E7" w14:textId="015A91C9" w:rsidR="0065387C" w:rsidRDefault="0065387C" w:rsidP="00231120">
      <w:pPr>
        <w:pStyle w:val="Kop2"/>
        <w:numPr>
          <w:ilvl w:val="0"/>
          <w:numId w:val="0"/>
        </w:numPr>
        <w:ind w:left="851" w:hanging="851"/>
      </w:pPr>
      <w:bookmarkStart w:id="2" w:name="_U1._Afstemming_op"/>
      <w:bookmarkEnd w:id="2"/>
      <w:r>
        <w:rPr>
          <w:color w:val="000000" w:themeColor="text1"/>
        </w:rPr>
        <w:t xml:space="preserve">U1. </w:t>
      </w:r>
      <w:r>
        <w:t xml:space="preserve">Matching the offer to the validated target framework </w:t>
      </w:r>
    </w:p>
    <w:tbl>
      <w:tblPr>
        <w:tblStyle w:val="I20Ontwikkelingsschalen"/>
        <w:tblW w:w="14276" w:type="dxa"/>
        <w:tblLook w:val="0620" w:firstRow="1" w:lastRow="0" w:firstColumn="0" w:lastColumn="0" w:noHBand="1" w:noVBand="1"/>
      </w:tblPr>
      <w:tblGrid>
        <w:gridCol w:w="3410"/>
        <w:gridCol w:w="3410"/>
        <w:gridCol w:w="3410"/>
        <w:gridCol w:w="644"/>
        <w:gridCol w:w="3402"/>
      </w:tblGrid>
      <w:tr w:rsidR="00231120" w:rsidRPr="00F17AD8" w14:paraId="4AE4F4A8" w14:textId="77777777" w:rsidTr="00200216">
        <w:trPr>
          <w:cnfStyle w:val="100000000000" w:firstRow="1" w:lastRow="0" w:firstColumn="0" w:lastColumn="0" w:oddVBand="0" w:evenVBand="0" w:oddHBand="0" w:evenHBand="0" w:firstRowFirstColumn="0" w:firstRowLastColumn="0" w:lastRowFirstColumn="0" w:lastRowLastColumn="0"/>
          <w:trHeight w:val="20"/>
        </w:trPr>
        <w:tc>
          <w:tcPr>
            <w:tcW w:w="3410" w:type="dxa"/>
            <w:shd w:val="clear" w:color="auto" w:fill="FFD9D9"/>
          </w:tcPr>
          <w:p w14:paraId="1ABAC24C" w14:textId="77777777" w:rsidR="00231120" w:rsidRPr="00F17AD8" w:rsidRDefault="00231120" w:rsidP="00200216">
            <w:pPr>
              <w:rPr>
                <w:b w:val="0"/>
                <w:color w:val="000000" w:themeColor="text1"/>
              </w:rPr>
            </w:pPr>
            <w:bookmarkStart w:id="3" w:name="OLE_LINK1"/>
            <w:r>
              <w:rPr>
                <w:b w:val="0"/>
                <w:color w:val="000000" w:themeColor="text1"/>
              </w:rPr>
              <w:t xml:space="preserve">below </w:t>
            </w:r>
          </w:p>
          <w:p w14:paraId="09BCA1A6" w14:textId="77777777" w:rsidR="00231120" w:rsidRPr="00F17AD8" w:rsidRDefault="00231120" w:rsidP="00200216">
            <w:pPr>
              <w:rPr>
                <w:b w:val="0"/>
                <w:color w:val="000000" w:themeColor="text1"/>
              </w:rPr>
            </w:pPr>
            <w:r>
              <w:rPr>
                <w:b w:val="0"/>
                <w:color w:val="000000" w:themeColor="text1"/>
              </w:rPr>
              <w:t>expectations</w:t>
            </w:r>
          </w:p>
        </w:tc>
        <w:tc>
          <w:tcPr>
            <w:tcW w:w="3410" w:type="dxa"/>
            <w:shd w:val="clear" w:color="auto" w:fill="FFF2CC" w:themeFill="accent2" w:themeFillTint="33"/>
          </w:tcPr>
          <w:p w14:paraId="24920E16" w14:textId="77777777" w:rsidR="00231120" w:rsidRPr="00F17AD8" w:rsidRDefault="00231120" w:rsidP="00200216">
            <w:pPr>
              <w:rPr>
                <w:b w:val="0"/>
                <w:color w:val="000000" w:themeColor="text1"/>
              </w:rPr>
            </w:pPr>
            <w:r>
              <w:rPr>
                <w:b w:val="0"/>
                <w:color w:val="000000" w:themeColor="text1"/>
              </w:rPr>
              <w:t xml:space="preserve">approaches </w:t>
            </w:r>
          </w:p>
          <w:p w14:paraId="12331EFD" w14:textId="77777777" w:rsidR="00231120" w:rsidRPr="00F17AD8" w:rsidRDefault="00231120" w:rsidP="00200216">
            <w:pPr>
              <w:rPr>
                <w:b w:val="0"/>
                <w:color w:val="000000" w:themeColor="text1"/>
              </w:rPr>
            </w:pPr>
            <w:r>
              <w:rPr>
                <w:b w:val="0"/>
                <w:color w:val="000000" w:themeColor="text1"/>
              </w:rPr>
              <w:t>expectations</w:t>
            </w:r>
          </w:p>
        </w:tc>
        <w:tc>
          <w:tcPr>
            <w:tcW w:w="3410" w:type="dxa"/>
            <w:tcBorders>
              <w:bottom w:val="single" w:sz="4" w:space="0" w:color="auto"/>
              <w:right w:val="single" w:sz="4" w:space="0" w:color="auto"/>
            </w:tcBorders>
            <w:shd w:val="clear" w:color="auto" w:fill="EAF1DD" w:themeFill="accent5" w:themeFillTint="33"/>
          </w:tcPr>
          <w:p w14:paraId="4E387DD7" w14:textId="77777777" w:rsidR="00231120" w:rsidRPr="00F17AD8" w:rsidRDefault="00231120" w:rsidP="00200216">
            <w:pPr>
              <w:rPr>
                <w:b w:val="0"/>
                <w:color w:val="000000" w:themeColor="text1"/>
              </w:rPr>
            </w:pPr>
            <w:r>
              <w:rPr>
                <w:b w:val="0"/>
                <w:color w:val="000000" w:themeColor="text1"/>
              </w:rPr>
              <w:t xml:space="preserve">meets </w:t>
            </w:r>
          </w:p>
          <w:p w14:paraId="68408834" w14:textId="77777777" w:rsidR="00231120" w:rsidRPr="00F17AD8" w:rsidRDefault="00231120" w:rsidP="00200216">
            <w:pPr>
              <w:rPr>
                <w:b w:val="0"/>
                <w:color w:val="000000" w:themeColor="text1"/>
              </w:rPr>
            </w:pPr>
            <w:r>
              <w:rPr>
                <w:b w:val="0"/>
                <w:color w:val="000000" w:themeColor="text1"/>
              </w:rPr>
              <w:t>expectations</w:t>
            </w:r>
          </w:p>
        </w:tc>
        <w:tc>
          <w:tcPr>
            <w:tcW w:w="644" w:type="dxa"/>
            <w:tcBorders>
              <w:top w:val="nil"/>
              <w:left w:val="single" w:sz="4" w:space="0" w:color="auto"/>
              <w:bottom w:val="nil"/>
              <w:right w:val="single" w:sz="4" w:space="0" w:color="auto"/>
            </w:tcBorders>
            <w:shd w:val="clear" w:color="auto" w:fill="auto"/>
          </w:tcPr>
          <w:p w14:paraId="0EB630B3" w14:textId="77777777" w:rsidR="00231120" w:rsidRPr="00F17AD8" w:rsidRDefault="00231120" w:rsidP="00200216">
            <w:pPr>
              <w:rPr>
                <w:color w:val="000000" w:themeColor="text1"/>
              </w:rPr>
            </w:pPr>
          </w:p>
        </w:tc>
        <w:tc>
          <w:tcPr>
            <w:tcW w:w="3402" w:type="dxa"/>
            <w:tcBorders>
              <w:left w:val="single" w:sz="4" w:space="0" w:color="auto"/>
            </w:tcBorders>
            <w:shd w:val="clear" w:color="auto" w:fill="DBE5F1" w:themeFill="accent3" w:themeFillTint="33"/>
          </w:tcPr>
          <w:p w14:paraId="7E76F587" w14:textId="77777777" w:rsidR="00231120" w:rsidRPr="00F17AD8" w:rsidRDefault="00231120" w:rsidP="00200216">
            <w:pPr>
              <w:rPr>
                <w:b w:val="0"/>
                <w:color w:val="000000" w:themeColor="text1"/>
              </w:rPr>
            </w:pPr>
            <w:r>
              <w:rPr>
                <w:b w:val="0"/>
                <w:color w:val="000000" w:themeColor="text1"/>
              </w:rPr>
              <w:t xml:space="preserve">exceeds </w:t>
            </w:r>
          </w:p>
          <w:p w14:paraId="34B62638" w14:textId="77777777" w:rsidR="00231120" w:rsidRPr="00F17AD8" w:rsidRDefault="00231120" w:rsidP="00200216">
            <w:pPr>
              <w:rPr>
                <w:b w:val="0"/>
                <w:color w:val="000000" w:themeColor="text1"/>
              </w:rPr>
            </w:pPr>
            <w:r>
              <w:rPr>
                <w:b w:val="0"/>
                <w:color w:val="000000" w:themeColor="text1"/>
              </w:rPr>
              <w:t>expectations</w:t>
            </w:r>
          </w:p>
        </w:tc>
      </w:tr>
      <w:tr w:rsidR="00231120" w:rsidRPr="00F17AD8" w14:paraId="439E6BFD" w14:textId="77777777" w:rsidTr="00200216">
        <w:trPr>
          <w:cantSplit w:val="0"/>
          <w:trHeight w:val="284"/>
        </w:trPr>
        <w:tc>
          <w:tcPr>
            <w:tcW w:w="3410" w:type="dxa"/>
            <w:shd w:val="clear" w:color="auto" w:fill="auto"/>
            <w:vAlign w:val="top"/>
          </w:tcPr>
          <w:p w14:paraId="687CDF6C" w14:textId="77777777" w:rsidR="00231120" w:rsidRPr="002339E2" w:rsidRDefault="00231120" w:rsidP="00231120">
            <w:pPr>
              <w:rPr>
                <w:color w:val="000000" w:themeColor="text1"/>
              </w:rPr>
            </w:pPr>
            <w:r>
              <w:rPr>
                <w:color w:val="000000" w:themeColor="text1"/>
              </w:rPr>
              <w:t xml:space="preserve">The offer is not sufficiently attuned to the validated target framework. </w:t>
            </w:r>
          </w:p>
          <w:p w14:paraId="4C8AA15B" w14:textId="77777777" w:rsidR="00231120" w:rsidRPr="00643B0D" w:rsidRDefault="00231120" w:rsidP="00231120">
            <w:pPr>
              <w:rPr>
                <w:color w:val="000000" w:themeColor="text1"/>
              </w:rPr>
            </w:pPr>
          </w:p>
        </w:tc>
        <w:tc>
          <w:tcPr>
            <w:tcW w:w="3410" w:type="dxa"/>
            <w:shd w:val="clear" w:color="auto" w:fill="auto"/>
            <w:vAlign w:val="top"/>
          </w:tcPr>
          <w:p w14:paraId="19941E82" w14:textId="77777777" w:rsidR="00231120" w:rsidRPr="002339E2" w:rsidRDefault="00231120" w:rsidP="00231120">
            <w:pPr>
              <w:rPr>
                <w:color w:val="000000" w:themeColor="text1"/>
              </w:rPr>
            </w:pPr>
            <w:r>
              <w:rPr>
                <w:color w:val="000000" w:themeColor="text1"/>
              </w:rPr>
              <w:t xml:space="preserve">The offer is partly in line with the validated target framework. The completeness, the balance of the offer and the alignment with the expected containment level are still points of work. </w:t>
            </w:r>
          </w:p>
          <w:p w14:paraId="7D5CEF1B" w14:textId="77777777" w:rsidR="00231120" w:rsidRPr="00643B0D" w:rsidRDefault="00231120" w:rsidP="00231120">
            <w:pPr>
              <w:rPr>
                <w:color w:val="000000" w:themeColor="text1"/>
              </w:rPr>
            </w:pPr>
          </w:p>
        </w:tc>
        <w:tc>
          <w:tcPr>
            <w:tcW w:w="3410" w:type="dxa"/>
            <w:tcBorders>
              <w:right w:val="single" w:sz="4" w:space="0" w:color="auto"/>
            </w:tcBorders>
            <w:shd w:val="clear" w:color="auto" w:fill="auto"/>
            <w:vAlign w:val="top"/>
          </w:tcPr>
          <w:p w14:paraId="626326C2" w14:textId="77777777" w:rsidR="00231120" w:rsidRPr="002339E2" w:rsidRDefault="00231120" w:rsidP="00231120">
            <w:pPr>
              <w:rPr>
                <w:color w:val="000000" w:themeColor="text1"/>
              </w:rPr>
            </w:pPr>
            <w:r>
              <w:rPr>
                <w:color w:val="000000" w:themeColor="text1"/>
              </w:rPr>
              <w:t>The offer is in line with the validated target framework and is almost complete. The supply is balanced and in line with the expected management level.</w:t>
            </w:r>
          </w:p>
          <w:p w14:paraId="714DD0D9" w14:textId="77777777" w:rsidR="00231120" w:rsidRPr="00643B0D" w:rsidRDefault="00231120" w:rsidP="00231120">
            <w:pPr>
              <w:rPr>
                <w:color w:val="000000" w:themeColor="text1"/>
              </w:rPr>
            </w:pPr>
          </w:p>
        </w:tc>
        <w:tc>
          <w:tcPr>
            <w:tcW w:w="644" w:type="dxa"/>
            <w:tcBorders>
              <w:top w:val="nil"/>
              <w:left w:val="single" w:sz="4" w:space="0" w:color="auto"/>
              <w:bottom w:val="nil"/>
              <w:right w:val="single" w:sz="4" w:space="0" w:color="auto"/>
            </w:tcBorders>
            <w:shd w:val="clear" w:color="auto" w:fill="auto"/>
            <w:vAlign w:val="top"/>
          </w:tcPr>
          <w:p w14:paraId="5152005A" w14:textId="77777777" w:rsidR="00231120" w:rsidRPr="00643B0D" w:rsidRDefault="00231120" w:rsidP="00231120">
            <w:pPr>
              <w:rPr>
                <w:color w:val="000000" w:themeColor="text1"/>
              </w:rPr>
            </w:pPr>
          </w:p>
        </w:tc>
        <w:tc>
          <w:tcPr>
            <w:tcW w:w="3402" w:type="dxa"/>
            <w:tcBorders>
              <w:left w:val="single" w:sz="4" w:space="0" w:color="auto"/>
            </w:tcBorders>
            <w:shd w:val="clear" w:color="auto" w:fill="auto"/>
            <w:vAlign w:val="top"/>
          </w:tcPr>
          <w:p w14:paraId="2508E6E4" w14:textId="77777777" w:rsidR="00231120" w:rsidRDefault="00231120" w:rsidP="00231120">
            <w:pPr>
              <w:rPr>
                <w:color w:val="000000" w:themeColor="text1"/>
              </w:rPr>
            </w:pPr>
            <w:r>
              <w:rPr>
                <w:color w:val="000000" w:themeColor="text1"/>
              </w:rPr>
              <w:t>The offer includes the validated target framework in a complete, balanced way and at the expected management level. The way teachers monitor alignment with the validated target framework is an example of good practice.</w:t>
            </w:r>
          </w:p>
          <w:p w14:paraId="51E46FB6" w14:textId="4E3A1372" w:rsidR="00231120" w:rsidRPr="00643B0D" w:rsidRDefault="00231120" w:rsidP="00231120">
            <w:pPr>
              <w:rPr>
                <w:color w:val="000000" w:themeColor="text1"/>
              </w:rPr>
            </w:pPr>
          </w:p>
        </w:tc>
      </w:tr>
    </w:tbl>
    <w:p w14:paraId="435A3637" w14:textId="77777777" w:rsidR="0065387C" w:rsidRPr="002339E2" w:rsidRDefault="0065387C" w:rsidP="00231120">
      <w:pPr>
        <w:pStyle w:val="Kop2"/>
        <w:numPr>
          <w:ilvl w:val="0"/>
          <w:numId w:val="0"/>
        </w:numPr>
        <w:ind w:left="851" w:hanging="851"/>
        <w:rPr>
          <w:color w:val="000000" w:themeColor="text1"/>
        </w:rPr>
      </w:pPr>
      <w:bookmarkStart w:id="4" w:name="_U2._Leer-_en"/>
      <w:bookmarkStart w:id="5" w:name="_Toc464563591"/>
      <w:bookmarkStart w:id="6" w:name="_Toc464564357"/>
      <w:bookmarkStart w:id="7" w:name="_Toc465578153"/>
      <w:bookmarkEnd w:id="3"/>
      <w:bookmarkEnd w:id="4"/>
      <w:r>
        <w:rPr>
          <w:color w:val="000000" w:themeColor="text1"/>
        </w:rPr>
        <w:t>U2. Learning and development-targeted offer</w:t>
      </w:r>
    </w:p>
    <w:p w14:paraId="76DEC52D" w14:textId="70008D36" w:rsidR="0065387C" w:rsidRDefault="00575A1A" w:rsidP="00231120">
      <w:pPr>
        <w:rPr>
          <w:b/>
          <w:color w:val="0070C0"/>
          <w:sz w:val="24"/>
        </w:rPr>
      </w:pPr>
      <w:r>
        <w:rPr>
          <w:b/>
          <w:color w:val="0070C0"/>
          <w:sz w:val="24"/>
        </w:rPr>
        <w:t>including broad basic care within the domain of learning and studying</w:t>
      </w:r>
    </w:p>
    <w:p w14:paraId="603649B3" w14:textId="77777777" w:rsidR="00231120" w:rsidRDefault="00231120" w:rsidP="00BE5A97">
      <w:pPr>
        <w:ind w:left="851"/>
        <w:rPr>
          <w:b/>
          <w:color w:val="0070C0"/>
          <w:sz w:val="24"/>
        </w:rPr>
      </w:pPr>
    </w:p>
    <w:tbl>
      <w:tblPr>
        <w:tblStyle w:val="I20Ontwikkelingsschalen"/>
        <w:tblW w:w="14276" w:type="dxa"/>
        <w:tblLook w:val="0620" w:firstRow="1" w:lastRow="0" w:firstColumn="0" w:lastColumn="0" w:noHBand="1" w:noVBand="1"/>
      </w:tblPr>
      <w:tblGrid>
        <w:gridCol w:w="3410"/>
        <w:gridCol w:w="3410"/>
        <w:gridCol w:w="3410"/>
        <w:gridCol w:w="644"/>
        <w:gridCol w:w="3402"/>
      </w:tblGrid>
      <w:tr w:rsidR="00231120" w:rsidRPr="00F17AD8" w14:paraId="58D2CCB1" w14:textId="77777777" w:rsidTr="00200216">
        <w:trPr>
          <w:cnfStyle w:val="100000000000" w:firstRow="1" w:lastRow="0" w:firstColumn="0" w:lastColumn="0" w:oddVBand="0" w:evenVBand="0" w:oddHBand="0" w:evenHBand="0" w:firstRowFirstColumn="0" w:firstRowLastColumn="0" w:lastRowFirstColumn="0" w:lastRowLastColumn="0"/>
          <w:trHeight w:val="20"/>
        </w:trPr>
        <w:tc>
          <w:tcPr>
            <w:tcW w:w="3410" w:type="dxa"/>
            <w:shd w:val="clear" w:color="auto" w:fill="FFD9D9"/>
          </w:tcPr>
          <w:p w14:paraId="62FC579A" w14:textId="77777777" w:rsidR="00231120" w:rsidRPr="00F17AD8" w:rsidRDefault="00231120" w:rsidP="00200216">
            <w:pPr>
              <w:rPr>
                <w:b w:val="0"/>
                <w:color w:val="000000" w:themeColor="text1"/>
              </w:rPr>
            </w:pPr>
            <w:r>
              <w:rPr>
                <w:b w:val="0"/>
                <w:color w:val="000000" w:themeColor="text1"/>
              </w:rPr>
              <w:t xml:space="preserve">below </w:t>
            </w:r>
          </w:p>
          <w:p w14:paraId="05B9A509" w14:textId="77777777" w:rsidR="00231120" w:rsidRPr="00F17AD8" w:rsidRDefault="00231120" w:rsidP="00200216">
            <w:pPr>
              <w:rPr>
                <w:b w:val="0"/>
                <w:color w:val="000000" w:themeColor="text1"/>
              </w:rPr>
            </w:pPr>
            <w:r>
              <w:rPr>
                <w:b w:val="0"/>
                <w:color w:val="000000" w:themeColor="text1"/>
              </w:rPr>
              <w:t>expectations</w:t>
            </w:r>
          </w:p>
        </w:tc>
        <w:tc>
          <w:tcPr>
            <w:tcW w:w="3410" w:type="dxa"/>
            <w:shd w:val="clear" w:color="auto" w:fill="FFF2CC" w:themeFill="accent2" w:themeFillTint="33"/>
          </w:tcPr>
          <w:p w14:paraId="3DFD07F0" w14:textId="77777777" w:rsidR="00231120" w:rsidRPr="00F17AD8" w:rsidRDefault="00231120" w:rsidP="00200216">
            <w:pPr>
              <w:rPr>
                <w:b w:val="0"/>
                <w:color w:val="000000" w:themeColor="text1"/>
              </w:rPr>
            </w:pPr>
            <w:r>
              <w:rPr>
                <w:b w:val="0"/>
                <w:color w:val="000000" w:themeColor="text1"/>
              </w:rPr>
              <w:t xml:space="preserve">approaches </w:t>
            </w:r>
          </w:p>
          <w:p w14:paraId="2F264879" w14:textId="77777777" w:rsidR="00231120" w:rsidRPr="00F17AD8" w:rsidRDefault="00231120" w:rsidP="00200216">
            <w:pPr>
              <w:rPr>
                <w:b w:val="0"/>
                <w:color w:val="000000" w:themeColor="text1"/>
              </w:rPr>
            </w:pPr>
            <w:r>
              <w:rPr>
                <w:b w:val="0"/>
                <w:color w:val="000000" w:themeColor="text1"/>
              </w:rPr>
              <w:t>expectations</w:t>
            </w:r>
          </w:p>
        </w:tc>
        <w:tc>
          <w:tcPr>
            <w:tcW w:w="3410" w:type="dxa"/>
            <w:tcBorders>
              <w:bottom w:val="single" w:sz="4" w:space="0" w:color="auto"/>
              <w:right w:val="single" w:sz="4" w:space="0" w:color="auto"/>
            </w:tcBorders>
            <w:shd w:val="clear" w:color="auto" w:fill="EAF1DD" w:themeFill="accent5" w:themeFillTint="33"/>
          </w:tcPr>
          <w:p w14:paraId="6AB70BF7" w14:textId="77777777" w:rsidR="00231120" w:rsidRPr="00F17AD8" w:rsidRDefault="00231120" w:rsidP="00200216">
            <w:pPr>
              <w:rPr>
                <w:b w:val="0"/>
                <w:color w:val="000000" w:themeColor="text1"/>
              </w:rPr>
            </w:pPr>
            <w:r>
              <w:rPr>
                <w:b w:val="0"/>
                <w:color w:val="000000" w:themeColor="text1"/>
              </w:rPr>
              <w:t xml:space="preserve">meets </w:t>
            </w:r>
          </w:p>
          <w:p w14:paraId="0B5303E9" w14:textId="77777777" w:rsidR="00231120" w:rsidRPr="00F17AD8" w:rsidRDefault="00231120" w:rsidP="00200216">
            <w:pPr>
              <w:rPr>
                <w:b w:val="0"/>
                <w:color w:val="000000" w:themeColor="text1"/>
              </w:rPr>
            </w:pPr>
            <w:r>
              <w:rPr>
                <w:b w:val="0"/>
                <w:color w:val="000000" w:themeColor="text1"/>
              </w:rPr>
              <w:t>expectations</w:t>
            </w:r>
          </w:p>
        </w:tc>
        <w:tc>
          <w:tcPr>
            <w:tcW w:w="644" w:type="dxa"/>
            <w:tcBorders>
              <w:top w:val="nil"/>
              <w:left w:val="single" w:sz="4" w:space="0" w:color="auto"/>
              <w:bottom w:val="nil"/>
              <w:right w:val="single" w:sz="4" w:space="0" w:color="auto"/>
            </w:tcBorders>
            <w:shd w:val="clear" w:color="auto" w:fill="auto"/>
          </w:tcPr>
          <w:p w14:paraId="0AC9BAD2" w14:textId="77777777" w:rsidR="00231120" w:rsidRPr="00F17AD8" w:rsidRDefault="00231120" w:rsidP="00200216">
            <w:pPr>
              <w:rPr>
                <w:color w:val="000000" w:themeColor="text1"/>
              </w:rPr>
            </w:pPr>
          </w:p>
        </w:tc>
        <w:tc>
          <w:tcPr>
            <w:tcW w:w="3402" w:type="dxa"/>
            <w:tcBorders>
              <w:left w:val="single" w:sz="4" w:space="0" w:color="auto"/>
            </w:tcBorders>
            <w:shd w:val="clear" w:color="auto" w:fill="DBE5F1" w:themeFill="accent3" w:themeFillTint="33"/>
          </w:tcPr>
          <w:p w14:paraId="7810AE1A" w14:textId="77777777" w:rsidR="00231120" w:rsidRPr="00F17AD8" w:rsidRDefault="00231120" w:rsidP="00200216">
            <w:pPr>
              <w:rPr>
                <w:b w:val="0"/>
                <w:color w:val="000000" w:themeColor="text1"/>
              </w:rPr>
            </w:pPr>
            <w:r>
              <w:rPr>
                <w:b w:val="0"/>
                <w:color w:val="000000" w:themeColor="text1"/>
              </w:rPr>
              <w:t xml:space="preserve">exceeds </w:t>
            </w:r>
          </w:p>
          <w:p w14:paraId="32F414E8" w14:textId="77777777" w:rsidR="00231120" w:rsidRPr="00F17AD8" w:rsidRDefault="00231120" w:rsidP="00200216">
            <w:pPr>
              <w:rPr>
                <w:b w:val="0"/>
                <w:color w:val="000000" w:themeColor="text1"/>
              </w:rPr>
            </w:pPr>
            <w:r>
              <w:rPr>
                <w:b w:val="0"/>
                <w:color w:val="000000" w:themeColor="text1"/>
              </w:rPr>
              <w:t>expectations</w:t>
            </w:r>
          </w:p>
        </w:tc>
      </w:tr>
      <w:tr w:rsidR="00231120" w:rsidRPr="00F17AD8" w14:paraId="5D1380F8" w14:textId="77777777" w:rsidTr="00200216">
        <w:trPr>
          <w:cantSplit w:val="0"/>
          <w:trHeight w:val="284"/>
        </w:trPr>
        <w:tc>
          <w:tcPr>
            <w:tcW w:w="3410" w:type="dxa"/>
            <w:shd w:val="clear" w:color="auto" w:fill="auto"/>
            <w:vAlign w:val="top"/>
          </w:tcPr>
          <w:p w14:paraId="3C6A8382" w14:textId="77777777" w:rsidR="00231120" w:rsidRPr="00806A96" w:rsidRDefault="00231120" w:rsidP="00231120">
            <w:r>
              <w:t>Teachers do not have sufficient insight into the initial situation of the pupils to attune the teaching process to it. The offer is not sufficiently coherent, meaningful and activating. The educational organization is not sufficiently focused on achieving the objectives.</w:t>
            </w:r>
          </w:p>
          <w:p w14:paraId="2A0375EC" w14:textId="77777777" w:rsidR="00231120" w:rsidRPr="00643B0D" w:rsidRDefault="00231120" w:rsidP="00231120">
            <w:pPr>
              <w:rPr>
                <w:color w:val="000000" w:themeColor="text1"/>
              </w:rPr>
            </w:pPr>
          </w:p>
        </w:tc>
        <w:tc>
          <w:tcPr>
            <w:tcW w:w="3410" w:type="dxa"/>
            <w:shd w:val="clear" w:color="auto" w:fill="auto"/>
            <w:vAlign w:val="top"/>
          </w:tcPr>
          <w:p w14:paraId="5D43DE94" w14:textId="77777777" w:rsidR="00231120" w:rsidRPr="00806A96" w:rsidRDefault="00231120" w:rsidP="00231120">
            <w:r>
              <w:t>Teachers set achievable and challenging goals for most students. The adaptation of the educational process to the initial situation of the pupils could be improved. Teachers are still missing opportunities to make the offer coherent, meaningful and activating. The educational organization is still not sufficiently focused on achieving its objectives.</w:t>
            </w:r>
          </w:p>
          <w:p w14:paraId="0FBEB121" w14:textId="77777777" w:rsidR="00231120" w:rsidRPr="00806A96" w:rsidRDefault="00231120" w:rsidP="00231120"/>
          <w:p w14:paraId="219DFEE8" w14:textId="77777777" w:rsidR="00231120" w:rsidRPr="00806A96" w:rsidRDefault="00231120" w:rsidP="00231120"/>
          <w:p w14:paraId="61CFAD7B" w14:textId="77777777" w:rsidR="00231120" w:rsidRPr="00643B0D" w:rsidRDefault="00231120" w:rsidP="00231120">
            <w:pPr>
              <w:rPr>
                <w:color w:val="000000" w:themeColor="text1"/>
              </w:rPr>
            </w:pPr>
          </w:p>
        </w:tc>
        <w:tc>
          <w:tcPr>
            <w:tcW w:w="3410" w:type="dxa"/>
            <w:tcBorders>
              <w:right w:val="single" w:sz="4" w:space="0" w:color="auto"/>
            </w:tcBorders>
            <w:shd w:val="clear" w:color="auto" w:fill="auto"/>
            <w:vAlign w:val="top"/>
          </w:tcPr>
          <w:p w14:paraId="4548BB6F" w14:textId="77777777" w:rsidR="00231120" w:rsidRPr="00806A96" w:rsidRDefault="00231120" w:rsidP="00231120">
            <w:r>
              <w:t>Teachers use the initial situation of the group of pupils to set achievable and challenging goals and to shape the teaching process. The offer is generally coherent, meaningful and activating and supports learning. The educational organization promotes the achievement of the objectives.</w:t>
            </w:r>
          </w:p>
          <w:p w14:paraId="773F4436" w14:textId="77777777" w:rsidR="00231120" w:rsidRPr="00643B0D" w:rsidRDefault="00231120" w:rsidP="00231120">
            <w:pPr>
              <w:rPr>
                <w:color w:val="000000" w:themeColor="text1"/>
              </w:rPr>
            </w:pPr>
          </w:p>
        </w:tc>
        <w:tc>
          <w:tcPr>
            <w:tcW w:w="644" w:type="dxa"/>
            <w:tcBorders>
              <w:top w:val="nil"/>
              <w:left w:val="single" w:sz="4" w:space="0" w:color="auto"/>
              <w:bottom w:val="nil"/>
              <w:right w:val="single" w:sz="4" w:space="0" w:color="auto"/>
            </w:tcBorders>
            <w:shd w:val="clear" w:color="auto" w:fill="auto"/>
            <w:vAlign w:val="top"/>
          </w:tcPr>
          <w:p w14:paraId="5128C779" w14:textId="77777777" w:rsidR="00231120" w:rsidRPr="00643B0D" w:rsidRDefault="00231120" w:rsidP="00231120">
            <w:pPr>
              <w:rPr>
                <w:color w:val="000000" w:themeColor="text1"/>
              </w:rPr>
            </w:pPr>
          </w:p>
        </w:tc>
        <w:tc>
          <w:tcPr>
            <w:tcW w:w="3402" w:type="dxa"/>
            <w:tcBorders>
              <w:left w:val="single" w:sz="4" w:space="0" w:color="auto"/>
            </w:tcBorders>
            <w:shd w:val="clear" w:color="auto" w:fill="auto"/>
            <w:vAlign w:val="top"/>
          </w:tcPr>
          <w:p w14:paraId="367DC88D" w14:textId="77777777" w:rsidR="00231120" w:rsidRPr="00806A96" w:rsidRDefault="00231120" w:rsidP="00231120">
            <w:r>
              <w:t>Teachers use the initial situation of the pupils to set achievable and challenging goals for each pupil and to tailor the teaching process to the learning needs of each pupil. The offer is pre-eminently coherent, meaningful and activating and supports learning. The educational organization promotes the achievement of the objectives. The way in which teachers shape the learning and development-targeted offer is an example of good practice.</w:t>
            </w:r>
          </w:p>
          <w:p w14:paraId="2479508A" w14:textId="77777777" w:rsidR="00231120" w:rsidRPr="00643B0D" w:rsidRDefault="00231120" w:rsidP="00231120">
            <w:pPr>
              <w:rPr>
                <w:color w:val="000000" w:themeColor="text1"/>
              </w:rPr>
            </w:pPr>
          </w:p>
        </w:tc>
      </w:tr>
    </w:tbl>
    <w:p w14:paraId="7DA27E66" w14:textId="77777777" w:rsidR="00231120" w:rsidRPr="007E373C" w:rsidRDefault="00231120" w:rsidP="00BE5A97">
      <w:pPr>
        <w:ind w:left="851"/>
        <w:rPr>
          <w:b/>
          <w:color w:val="0070C0"/>
          <w:sz w:val="24"/>
        </w:rPr>
      </w:pPr>
    </w:p>
    <w:bookmarkEnd w:id="5"/>
    <w:bookmarkEnd w:id="6"/>
    <w:bookmarkEnd w:id="7"/>
    <w:p w14:paraId="1866C878" w14:textId="5C13B616" w:rsidR="00F32FE9" w:rsidRDefault="00F32FE9">
      <w:pPr>
        <w:rPr>
          <w:rFonts w:asciiTheme="majorHAnsi" w:hAnsiTheme="majorHAnsi" w:cs="Arial"/>
          <w:bCs/>
          <w:color w:val="000000" w:themeColor="text1"/>
          <w:szCs w:val="24"/>
          <w:lang w:eastAsia="nl-NL"/>
        </w:rPr>
      </w:pPr>
    </w:p>
    <w:p w14:paraId="194BD33C" w14:textId="0F1E1BDD" w:rsidR="0065387C" w:rsidRPr="002339E2" w:rsidRDefault="0065387C" w:rsidP="00231120">
      <w:pPr>
        <w:pStyle w:val="Kop2"/>
        <w:numPr>
          <w:ilvl w:val="0"/>
          <w:numId w:val="0"/>
        </w:numPr>
        <w:ind w:left="851" w:hanging="851"/>
        <w:rPr>
          <w:color w:val="000000" w:themeColor="text1"/>
        </w:rPr>
      </w:pPr>
      <w:bookmarkStart w:id="8" w:name="_U3._Positief_en"/>
      <w:bookmarkEnd w:id="8"/>
      <w:r>
        <w:rPr>
          <w:color w:val="000000" w:themeColor="text1"/>
        </w:rPr>
        <w:lastRenderedPageBreak/>
        <w:t xml:space="preserve">U3. Learning and living climate </w:t>
      </w:r>
    </w:p>
    <w:p w14:paraId="0CF3658A" w14:textId="1DB64640" w:rsidR="0065387C" w:rsidRDefault="00B9064F" w:rsidP="00231120">
      <w:pPr>
        <w:rPr>
          <w:b/>
          <w:color w:val="0070C0"/>
          <w:sz w:val="24"/>
        </w:rPr>
      </w:pPr>
      <w:r>
        <w:rPr>
          <w:b/>
          <w:color w:val="0070C0"/>
          <w:sz w:val="24"/>
        </w:rPr>
        <w:t>including broad basic care within the domain of psychological and social functioning</w:t>
      </w:r>
    </w:p>
    <w:p w14:paraId="74B1C024" w14:textId="62251C70" w:rsidR="00231120" w:rsidRDefault="00231120" w:rsidP="00BE5A97">
      <w:pPr>
        <w:ind w:left="851"/>
        <w:rPr>
          <w:b/>
          <w:color w:val="0070C0"/>
          <w:sz w:val="24"/>
        </w:rPr>
      </w:pPr>
    </w:p>
    <w:tbl>
      <w:tblPr>
        <w:tblStyle w:val="I20Ontwikkelingsschalen"/>
        <w:tblW w:w="14276" w:type="dxa"/>
        <w:tblLook w:val="0620" w:firstRow="1" w:lastRow="0" w:firstColumn="0" w:lastColumn="0" w:noHBand="1" w:noVBand="1"/>
      </w:tblPr>
      <w:tblGrid>
        <w:gridCol w:w="3410"/>
        <w:gridCol w:w="3410"/>
        <w:gridCol w:w="3410"/>
        <w:gridCol w:w="644"/>
        <w:gridCol w:w="3402"/>
      </w:tblGrid>
      <w:tr w:rsidR="00231120" w:rsidRPr="00F17AD8" w14:paraId="6FF8401B" w14:textId="77777777" w:rsidTr="00200216">
        <w:trPr>
          <w:cnfStyle w:val="100000000000" w:firstRow="1" w:lastRow="0" w:firstColumn="0" w:lastColumn="0" w:oddVBand="0" w:evenVBand="0" w:oddHBand="0" w:evenHBand="0" w:firstRowFirstColumn="0" w:firstRowLastColumn="0" w:lastRowFirstColumn="0" w:lastRowLastColumn="0"/>
          <w:trHeight w:val="20"/>
        </w:trPr>
        <w:tc>
          <w:tcPr>
            <w:tcW w:w="3410" w:type="dxa"/>
            <w:shd w:val="clear" w:color="auto" w:fill="FFD9D9"/>
          </w:tcPr>
          <w:p w14:paraId="35CB0B2E" w14:textId="77777777" w:rsidR="00231120" w:rsidRPr="00F17AD8" w:rsidRDefault="00231120" w:rsidP="00200216">
            <w:pPr>
              <w:rPr>
                <w:b w:val="0"/>
                <w:color w:val="000000" w:themeColor="text1"/>
              </w:rPr>
            </w:pPr>
            <w:r>
              <w:rPr>
                <w:b w:val="0"/>
                <w:color w:val="000000" w:themeColor="text1"/>
              </w:rPr>
              <w:t xml:space="preserve">below </w:t>
            </w:r>
          </w:p>
          <w:p w14:paraId="4978A7F8" w14:textId="77777777" w:rsidR="00231120" w:rsidRPr="00F17AD8" w:rsidRDefault="00231120" w:rsidP="00200216">
            <w:pPr>
              <w:rPr>
                <w:b w:val="0"/>
                <w:color w:val="000000" w:themeColor="text1"/>
              </w:rPr>
            </w:pPr>
            <w:r>
              <w:rPr>
                <w:b w:val="0"/>
                <w:color w:val="000000" w:themeColor="text1"/>
              </w:rPr>
              <w:t>expectations</w:t>
            </w:r>
          </w:p>
        </w:tc>
        <w:tc>
          <w:tcPr>
            <w:tcW w:w="3410" w:type="dxa"/>
            <w:shd w:val="clear" w:color="auto" w:fill="FFF2CC" w:themeFill="accent2" w:themeFillTint="33"/>
          </w:tcPr>
          <w:p w14:paraId="34D0C124" w14:textId="77777777" w:rsidR="00231120" w:rsidRPr="00F17AD8" w:rsidRDefault="00231120" w:rsidP="00200216">
            <w:pPr>
              <w:rPr>
                <w:b w:val="0"/>
                <w:color w:val="000000" w:themeColor="text1"/>
              </w:rPr>
            </w:pPr>
            <w:r>
              <w:rPr>
                <w:b w:val="0"/>
                <w:color w:val="000000" w:themeColor="text1"/>
              </w:rPr>
              <w:t xml:space="preserve">approaches </w:t>
            </w:r>
          </w:p>
          <w:p w14:paraId="478E5912" w14:textId="77777777" w:rsidR="00231120" w:rsidRPr="00F17AD8" w:rsidRDefault="00231120" w:rsidP="00200216">
            <w:pPr>
              <w:rPr>
                <w:b w:val="0"/>
                <w:color w:val="000000" w:themeColor="text1"/>
              </w:rPr>
            </w:pPr>
            <w:r>
              <w:rPr>
                <w:b w:val="0"/>
                <w:color w:val="000000" w:themeColor="text1"/>
              </w:rPr>
              <w:t>expectations</w:t>
            </w:r>
          </w:p>
        </w:tc>
        <w:tc>
          <w:tcPr>
            <w:tcW w:w="3410" w:type="dxa"/>
            <w:tcBorders>
              <w:bottom w:val="single" w:sz="4" w:space="0" w:color="auto"/>
              <w:right w:val="single" w:sz="4" w:space="0" w:color="auto"/>
            </w:tcBorders>
            <w:shd w:val="clear" w:color="auto" w:fill="EAF1DD" w:themeFill="accent5" w:themeFillTint="33"/>
          </w:tcPr>
          <w:p w14:paraId="3AFBDCF5" w14:textId="77777777" w:rsidR="00231120" w:rsidRPr="00F17AD8" w:rsidRDefault="00231120" w:rsidP="00200216">
            <w:pPr>
              <w:rPr>
                <w:b w:val="0"/>
                <w:color w:val="000000" w:themeColor="text1"/>
              </w:rPr>
            </w:pPr>
            <w:r>
              <w:rPr>
                <w:b w:val="0"/>
                <w:color w:val="000000" w:themeColor="text1"/>
              </w:rPr>
              <w:t xml:space="preserve">meets </w:t>
            </w:r>
          </w:p>
          <w:p w14:paraId="6B587F8A" w14:textId="77777777" w:rsidR="00231120" w:rsidRPr="00F17AD8" w:rsidRDefault="00231120" w:rsidP="00200216">
            <w:pPr>
              <w:rPr>
                <w:b w:val="0"/>
                <w:color w:val="000000" w:themeColor="text1"/>
              </w:rPr>
            </w:pPr>
            <w:r>
              <w:rPr>
                <w:b w:val="0"/>
                <w:color w:val="000000" w:themeColor="text1"/>
              </w:rPr>
              <w:t>expectations</w:t>
            </w:r>
          </w:p>
        </w:tc>
        <w:tc>
          <w:tcPr>
            <w:tcW w:w="644" w:type="dxa"/>
            <w:tcBorders>
              <w:top w:val="nil"/>
              <w:left w:val="single" w:sz="4" w:space="0" w:color="auto"/>
              <w:bottom w:val="nil"/>
              <w:right w:val="single" w:sz="4" w:space="0" w:color="auto"/>
            </w:tcBorders>
            <w:shd w:val="clear" w:color="auto" w:fill="auto"/>
          </w:tcPr>
          <w:p w14:paraId="3D21B77C" w14:textId="77777777" w:rsidR="00231120" w:rsidRPr="00F17AD8" w:rsidRDefault="00231120" w:rsidP="00200216">
            <w:pPr>
              <w:rPr>
                <w:color w:val="000000" w:themeColor="text1"/>
              </w:rPr>
            </w:pPr>
          </w:p>
        </w:tc>
        <w:tc>
          <w:tcPr>
            <w:tcW w:w="3402" w:type="dxa"/>
            <w:tcBorders>
              <w:left w:val="single" w:sz="4" w:space="0" w:color="auto"/>
            </w:tcBorders>
            <w:shd w:val="clear" w:color="auto" w:fill="DBE5F1" w:themeFill="accent3" w:themeFillTint="33"/>
          </w:tcPr>
          <w:p w14:paraId="5188EEAE" w14:textId="77777777" w:rsidR="00231120" w:rsidRPr="00F17AD8" w:rsidRDefault="00231120" w:rsidP="00200216">
            <w:pPr>
              <w:rPr>
                <w:b w:val="0"/>
                <w:color w:val="000000" w:themeColor="text1"/>
              </w:rPr>
            </w:pPr>
            <w:r>
              <w:rPr>
                <w:b w:val="0"/>
                <w:color w:val="000000" w:themeColor="text1"/>
              </w:rPr>
              <w:t xml:space="preserve">exceeds </w:t>
            </w:r>
          </w:p>
          <w:p w14:paraId="0D3972DD" w14:textId="77777777" w:rsidR="00231120" w:rsidRPr="00F17AD8" w:rsidRDefault="00231120" w:rsidP="00200216">
            <w:pPr>
              <w:rPr>
                <w:b w:val="0"/>
                <w:color w:val="000000" w:themeColor="text1"/>
              </w:rPr>
            </w:pPr>
            <w:r>
              <w:rPr>
                <w:b w:val="0"/>
                <w:color w:val="000000" w:themeColor="text1"/>
              </w:rPr>
              <w:t>expectations</w:t>
            </w:r>
          </w:p>
        </w:tc>
      </w:tr>
      <w:tr w:rsidR="00231120" w:rsidRPr="00F17AD8" w14:paraId="1EA1D740" w14:textId="77777777" w:rsidTr="00200216">
        <w:trPr>
          <w:cantSplit w:val="0"/>
          <w:trHeight w:val="284"/>
        </w:trPr>
        <w:tc>
          <w:tcPr>
            <w:tcW w:w="3410" w:type="dxa"/>
            <w:shd w:val="clear" w:color="auto" w:fill="auto"/>
            <w:vAlign w:val="top"/>
          </w:tcPr>
          <w:p w14:paraId="14D8B208" w14:textId="77777777" w:rsidR="00231120" w:rsidRPr="002339E2" w:rsidRDefault="00231120" w:rsidP="00231120">
            <w:pPr>
              <w:rPr>
                <w:color w:val="000000" w:themeColor="text1"/>
              </w:rPr>
            </w:pPr>
            <w:r>
              <w:rPr>
                <w:color w:val="000000" w:themeColor="text1"/>
              </w:rPr>
              <w:t>Teachers do not make sufficient efforts to create a positive and stimulating learning climate. The interaction between teachers and pupils is insufficiently respectful, understanding and participatory. Teachers do not make sufficient efforts to maximize learning opportunities through the efficient use of the teaching period.</w:t>
            </w:r>
          </w:p>
          <w:p w14:paraId="21C03203" w14:textId="77777777" w:rsidR="00231120" w:rsidRPr="00643B0D" w:rsidRDefault="00231120" w:rsidP="00231120">
            <w:pPr>
              <w:rPr>
                <w:color w:val="000000" w:themeColor="text1"/>
              </w:rPr>
            </w:pPr>
          </w:p>
        </w:tc>
        <w:tc>
          <w:tcPr>
            <w:tcW w:w="3410" w:type="dxa"/>
            <w:shd w:val="clear" w:color="auto" w:fill="auto"/>
            <w:vAlign w:val="top"/>
          </w:tcPr>
          <w:p w14:paraId="654B6DA3" w14:textId="5832A0A4" w:rsidR="00231120" w:rsidRPr="00643B0D" w:rsidRDefault="00231120" w:rsidP="00231120">
            <w:pPr>
              <w:rPr>
                <w:color w:val="000000" w:themeColor="text1"/>
              </w:rPr>
            </w:pPr>
            <w:r>
              <w:rPr>
                <w:color w:val="000000" w:themeColor="text1"/>
              </w:rPr>
              <w:t xml:space="preserve">Teachers make efforts to create a positive learning and living environment. Teachers still miss opportunities to motivate, support, value, interact with and take into account their input and to make efficient use of the </w:t>
            </w:r>
            <w:r>
              <w:t xml:space="preserve">teaching period. </w:t>
            </w:r>
          </w:p>
        </w:tc>
        <w:tc>
          <w:tcPr>
            <w:tcW w:w="3410" w:type="dxa"/>
            <w:tcBorders>
              <w:right w:val="single" w:sz="4" w:space="0" w:color="auto"/>
            </w:tcBorders>
            <w:shd w:val="clear" w:color="auto" w:fill="auto"/>
            <w:vAlign w:val="top"/>
          </w:tcPr>
          <w:p w14:paraId="19B9EA2C" w14:textId="29499536" w:rsidR="00231120" w:rsidRPr="00643B0D" w:rsidRDefault="00231120" w:rsidP="00231120">
            <w:pPr>
              <w:rPr>
                <w:color w:val="000000" w:themeColor="text1"/>
              </w:rPr>
            </w:pPr>
            <w:r>
              <w:rPr>
                <w:color w:val="000000" w:themeColor="text1"/>
              </w:rPr>
              <w:t xml:space="preserve">The teachers create a positive and stimulating learning </w:t>
            </w:r>
            <w:r>
              <w:t>and living environment</w:t>
            </w:r>
            <w:r>
              <w:rPr>
                <w:color w:val="000000" w:themeColor="text1"/>
              </w:rPr>
              <w:t xml:space="preserve">. Teachers motivate pupils, support them, appreciate them, often interact with them and take their input into account. Teachers make efficient use of the teaching period. </w:t>
            </w:r>
          </w:p>
        </w:tc>
        <w:tc>
          <w:tcPr>
            <w:tcW w:w="644" w:type="dxa"/>
            <w:tcBorders>
              <w:top w:val="nil"/>
              <w:left w:val="single" w:sz="4" w:space="0" w:color="auto"/>
              <w:bottom w:val="nil"/>
              <w:right w:val="single" w:sz="4" w:space="0" w:color="auto"/>
            </w:tcBorders>
            <w:shd w:val="clear" w:color="auto" w:fill="auto"/>
            <w:vAlign w:val="top"/>
          </w:tcPr>
          <w:p w14:paraId="0C59594D" w14:textId="77777777" w:rsidR="00231120" w:rsidRPr="00643B0D" w:rsidRDefault="00231120" w:rsidP="00231120">
            <w:pPr>
              <w:rPr>
                <w:color w:val="000000" w:themeColor="text1"/>
              </w:rPr>
            </w:pPr>
          </w:p>
        </w:tc>
        <w:tc>
          <w:tcPr>
            <w:tcW w:w="3402" w:type="dxa"/>
            <w:tcBorders>
              <w:left w:val="single" w:sz="4" w:space="0" w:color="auto"/>
            </w:tcBorders>
            <w:shd w:val="clear" w:color="auto" w:fill="auto"/>
            <w:vAlign w:val="top"/>
          </w:tcPr>
          <w:p w14:paraId="1252256D" w14:textId="77777777" w:rsidR="00231120" w:rsidRPr="002339E2" w:rsidRDefault="00231120" w:rsidP="00231120">
            <w:pPr>
              <w:rPr>
                <w:color w:val="000000" w:themeColor="text1"/>
              </w:rPr>
            </w:pPr>
            <w:r>
              <w:rPr>
                <w:color w:val="000000" w:themeColor="text1"/>
              </w:rPr>
              <w:t>There is a partnership between pupils and teachers based on respect, empathy, trust and dialogue. Pupils and teachers take joint responsibility for a relaxed and orderly atmosphere and for efficient use of the teaching period. Teachers motivate pupils, support them, value them and give them an autonomous role in the teaching process. The way in which teachers shape a positive and stimulating learning and living environment is an example of good practice.</w:t>
            </w:r>
          </w:p>
          <w:p w14:paraId="5AC3A51B" w14:textId="77777777" w:rsidR="00231120" w:rsidRPr="00643B0D" w:rsidRDefault="00231120" w:rsidP="00231120">
            <w:pPr>
              <w:rPr>
                <w:color w:val="000000" w:themeColor="text1"/>
              </w:rPr>
            </w:pPr>
          </w:p>
        </w:tc>
      </w:tr>
    </w:tbl>
    <w:p w14:paraId="3BB32FA5" w14:textId="2C3C9E77" w:rsidR="0065387C" w:rsidRDefault="00806A96" w:rsidP="00231120">
      <w:pPr>
        <w:pStyle w:val="Kop2"/>
        <w:numPr>
          <w:ilvl w:val="0"/>
          <w:numId w:val="0"/>
        </w:numPr>
        <w:ind w:left="851" w:hanging="851"/>
        <w:rPr>
          <w:color w:val="000000" w:themeColor="text1"/>
        </w:rPr>
      </w:pPr>
      <w:bookmarkStart w:id="9" w:name="_U4._Materiële_leeromgeving"/>
      <w:bookmarkEnd w:id="9"/>
      <w:r>
        <w:rPr>
          <w:color w:val="000000" w:themeColor="text1"/>
        </w:rPr>
        <w:t>U4. Material learning environment</w:t>
      </w:r>
    </w:p>
    <w:tbl>
      <w:tblPr>
        <w:tblStyle w:val="I20Ontwikkelingsschalen"/>
        <w:tblW w:w="14276" w:type="dxa"/>
        <w:tblLook w:val="0620" w:firstRow="1" w:lastRow="0" w:firstColumn="0" w:lastColumn="0" w:noHBand="1" w:noVBand="1"/>
      </w:tblPr>
      <w:tblGrid>
        <w:gridCol w:w="3410"/>
        <w:gridCol w:w="3410"/>
        <w:gridCol w:w="3410"/>
        <w:gridCol w:w="644"/>
        <w:gridCol w:w="3402"/>
      </w:tblGrid>
      <w:tr w:rsidR="00231120" w:rsidRPr="00F17AD8" w14:paraId="6D45F0E6" w14:textId="77777777" w:rsidTr="00200216">
        <w:trPr>
          <w:cnfStyle w:val="100000000000" w:firstRow="1" w:lastRow="0" w:firstColumn="0" w:lastColumn="0" w:oddVBand="0" w:evenVBand="0" w:oddHBand="0" w:evenHBand="0" w:firstRowFirstColumn="0" w:firstRowLastColumn="0" w:lastRowFirstColumn="0" w:lastRowLastColumn="0"/>
          <w:trHeight w:val="20"/>
        </w:trPr>
        <w:tc>
          <w:tcPr>
            <w:tcW w:w="3410" w:type="dxa"/>
            <w:shd w:val="clear" w:color="auto" w:fill="FFD9D9"/>
          </w:tcPr>
          <w:p w14:paraId="60D7ABEF" w14:textId="77777777" w:rsidR="00231120" w:rsidRPr="00F17AD8" w:rsidRDefault="00231120" w:rsidP="00200216">
            <w:pPr>
              <w:rPr>
                <w:b w:val="0"/>
                <w:color w:val="000000" w:themeColor="text1"/>
              </w:rPr>
            </w:pPr>
            <w:r>
              <w:rPr>
                <w:b w:val="0"/>
                <w:color w:val="000000" w:themeColor="text1"/>
              </w:rPr>
              <w:t xml:space="preserve">below </w:t>
            </w:r>
          </w:p>
          <w:p w14:paraId="4CEBDFB1" w14:textId="77777777" w:rsidR="00231120" w:rsidRPr="00F17AD8" w:rsidRDefault="00231120" w:rsidP="00200216">
            <w:pPr>
              <w:rPr>
                <w:b w:val="0"/>
                <w:color w:val="000000" w:themeColor="text1"/>
              </w:rPr>
            </w:pPr>
            <w:r>
              <w:rPr>
                <w:b w:val="0"/>
                <w:color w:val="000000" w:themeColor="text1"/>
              </w:rPr>
              <w:t>expectations</w:t>
            </w:r>
          </w:p>
        </w:tc>
        <w:tc>
          <w:tcPr>
            <w:tcW w:w="3410" w:type="dxa"/>
            <w:shd w:val="clear" w:color="auto" w:fill="FFF2CC" w:themeFill="accent2" w:themeFillTint="33"/>
          </w:tcPr>
          <w:p w14:paraId="0FF16A69" w14:textId="77777777" w:rsidR="00231120" w:rsidRPr="00F17AD8" w:rsidRDefault="00231120" w:rsidP="00200216">
            <w:pPr>
              <w:rPr>
                <w:b w:val="0"/>
                <w:color w:val="000000" w:themeColor="text1"/>
              </w:rPr>
            </w:pPr>
            <w:r>
              <w:rPr>
                <w:b w:val="0"/>
                <w:color w:val="000000" w:themeColor="text1"/>
              </w:rPr>
              <w:t xml:space="preserve">approaches </w:t>
            </w:r>
          </w:p>
          <w:p w14:paraId="3B8C0135" w14:textId="77777777" w:rsidR="00231120" w:rsidRPr="00F17AD8" w:rsidRDefault="00231120" w:rsidP="00200216">
            <w:pPr>
              <w:rPr>
                <w:b w:val="0"/>
                <w:color w:val="000000" w:themeColor="text1"/>
              </w:rPr>
            </w:pPr>
            <w:r>
              <w:rPr>
                <w:b w:val="0"/>
                <w:color w:val="000000" w:themeColor="text1"/>
              </w:rPr>
              <w:t>expectations</w:t>
            </w:r>
          </w:p>
        </w:tc>
        <w:tc>
          <w:tcPr>
            <w:tcW w:w="3410" w:type="dxa"/>
            <w:tcBorders>
              <w:bottom w:val="single" w:sz="4" w:space="0" w:color="auto"/>
              <w:right w:val="single" w:sz="4" w:space="0" w:color="auto"/>
            </w:tcBorders>
            <w:shd w:val="clear" w:color="auto" w:fill="EAF1DD" w:themeFill="accent5" w:themeFillTint="33"/>
          </w:tcPr>
          <w:p w14:paraId="0517178A" w14:textId="77777777" w:rsidR="00231120" w:rsidRPr="00F17AD8" w:rsidRDefault="00231120" w:rsidP="00200216">
            <w:pPr>
              <w:rPr>
                <w:b w:val="0"/>
                <w:color w:val="000000" w:themeColor="text1"/>
              </w:rPr>
            </w:pPr>
            <w:r>
              <w:rPr>
                <w:b w:val="0"/>
                <w:color w:val="000000" w:themeColor="text1"/>
              </w:rPr>
              <w:t xml:space="preserve">meets </w:t>
            </w:r>
          </w:p>
          <w:p w14:paraId="61EEAEF8" w14:textId="77777777" w:rsidR="00231120" w:rsidRPr="00F17AD8" w:rsidRDefault="00231120" w:rsidP="00200216">
            <w:pPr>
              <w:rPr>
                <w:b w:val="0"/>
                <w:color w:val="000000" w:themeColor="text1"/>
              </w:rPr>
            </w:pPr>
            <w:r>
              <w:rPr>
                <w:b w:val="0"/>
                <w:color w:val="000000" w:themeColor="text1"/>
              </w:rPr>
              <w:t>expectations</w:t>
            </w:r>
          </w:p>
        </w:tc>
        <w:tc>
          <w:tcPr>
            <w:tcW w:w="644" w:type="dxa"/>
            <w:tcBorders>
              <w:top w:val="nil"/>
              <w:left w:val="single" w:sz="4" w:space="0" w:color="auto"/>
              <w:bottom w:val="nil"/>
              <w:right w:val="single" w:sz="4" w:space="0" w:color="auto"/>
            </w:tcBorders>
            <w:shd w:val="clear" w:color="auto" w:fill="auto"/>
          </w:tcPr>
          <w:p w14:paraId="1CBB55E2" w14:textId="77777777" w:rsidR="00231120" w:rsidRPr="00F17AD8" w:rsidRDefault="00231120" w:rsidP="00200216">
            <w:pPr>
              <w:rPr>
                <w:color w:val="000000" w:themeColor="text1"/>
              </w:rPr>
            </w:pPr>
          </w:p>
        </w:tc>
        <w:tc>
          <w:tcPr>
            <w:tcW w:w="3402" w:type="dxa"/>
            <w:tcBorders>
              <w:left w:val="single" w:sz="4" w:space="0" w:color="auto"/>
            </w:tcBorders>
            <w:shd w:val="clear" w:color="auto" w:fill="DBE5F1" w:themeFill="accent3" w:themeFillTint="33"/>
          </w:tcPr>
          <w:p w14:paraId="59DA8742" w14:textId="77777777" w:rsidR="00231120" w:rsidRPr="00F17AD8" w:rsidRDefault="00231120" w:rsidP="00200216">
            <w:pPr>
              <w:rPr>
                <w:b w:val="0"/>
                <w:color w:val="000000" w:themeColor="text1"/>
              </w:rPr>
            </w:pPr>
            <w:r>
              <w:rPr>
                <w:b w:val="0"/>
                <w:color w:val="000000" w:themeColor="text1"/>
              </w:rPr>
              <w:t xml:space="preserve">exceeds </w:t>
            </w:r>
          </w:p>
          <w:p w14:paraId="2F83C5BF" w14:textId="77777777" w:rsidR="00231120" w:rsidRPr="00F17AD8" w:rsidRDefault="00231120" w:rsidP="00200216">
            <w:pPr>
              <w:rPr>
                <w:b w:val="0"/>
                <w:color w:val="000000" w:themeColor="text1"/>
              </w:rPr>
            </w:pPr>
            <w:r>
              <w:rPr>
                <w:b w:val="0"/>
                <w:color w:val="000000" w:themeColor="text1"/>
              </w:rPr>
              <w:t>expectations</w:t>
            </w:r>
          </w:p>
        </w:tc>
      </w:tr>
      <w:tr w:rsidR="00231120" w:rsidRPr="00F17AD8" w14:paraId="4A27EC00" w14:textId="77777777" w:rsidTr="00200216">
        <w:trPr>
          <w:cantSplit w:val="0"/>
          <w:trHeight w:val="284"/>
        </w:trPr>
        <w:tc>
          <w:tcPr>
            <w:tcW w:w="3410" w:type="dxa"/>
            <w:shd w:val="clear" w:color="auto" w:fill="auto"/>
            <w:vAlign w:val="top"/>
          </w:tcPr>
          <w:p w14:paraId="3408D45D" w14:textId="77777777" w:rsidR="00231120" w:rsidRPr="00806A96" w:rsidRDefault="00231120" w:rsidP="00231120">
            <w:r>
              <w:t>The material learning environment does not sufficiently support the achievement of the objectives.</w:t>
            </w:r>
          </w:p>
          <w:p w14:paraId="2F379075" w14:textId="77777777" w:rsidR="00231120" w:rsidRPr="00643B0D" w:rsidRDefault="00231120" w:rsidP="00231120">
            <w:pPr>
              <w:rPr>
                <w:color w:val="000000" w:themeColor="text1"/>
              </w:rPr>
            </w:pPr>
          </w:p>
        </w:tc>
        <w:tc>
          <w:tcPr>
            <w:tcW w:w="3410" w:type="dxa"/>
            <w:shd w:val="clear" w:color="auto" w:fill="auto"/>
            <w:vAlign w:val="top"/>
          </w:tcPr>
          <w:p w14:paraId="01AD975F" w14:textId="51C7BFC3" w:rsidR="00231120" w:rsidRPr="00643B0D" w:rsidRDefault="00231120" w:rsidP="00231120">
            <w:pPr>
              <w:rPr>
                <w:color w:val="000000" w:themeColor="text1"/>
              </w:rPr>
            </w:pPr>
            <w:r>
              <w:t>The material learning environment generally supports the achievement of the objectives. Teachers are missing opportunities to use the available equipment efficiently.</w:t>
            </w:r>
          </w:p>
        </w:tc>
        <w:tc>
          <w:tcPr>
            <w:tcW w:w="3410" w:type="dxa"/>
            <w:tcBorders>
              <w:right w:val="single" w:sz="4" w:space="0" w:color="auto"/>
            </w:tcBorders>
            <w:shd w:val="clear" w:color="auto" w:fill="auto"/>
            <w:vAlign w:val="top"/>
          </w:tcPr>
          <w:p w14:paraId="77147CB8" w14:textId="77777777" w:rsidR="00231120" w:rsidRPr="00806A96" w:rsidRDefault="00231120" w:rsidP="00231120">
            <w:r>
              <w:t>The material learning environment supports the achievement of the goals. Teachers use the available equipment efficiently.</w:t>
            </w:r>
          </w:p>
          <w:p w14:paraId="7B94DA32" w14:textId="77777777" w:rsidR="00231120" w:rsidRPr="00643B0D" w:rsidRDefault="00231120" w:rsidP="00231120">
            <w:pPr>
              <w:rPr>
                <w:color w:val="000000" w:themeColor="text1"/>
              </w:rPr>
            </w:pPr>
          </w:p>
        </w:tc>
        <w:tc>
          <w:tcPr>
            <w:tcW w:w="644" w:type="dxa"/>
            <w:tcBorders>
              <w:top w:val="nil"/>
              <w:left w:val="single" w:sz="4" w:space="0" w:color="auto"/>
              <w:bottom w:val="nil"/>
              <w:right w:val="single" w:sz="4" w:space="0" w:color="auto"/>
            </w:tcBorders>
            <w:shd w:val="clear" w:color="auto" w:fill="auto"/>
            <w:vAlign w:val="top"/>
          </w:tcPr>
          <w:p w14:paraId="1883A355" w14:textId="77777777" w:rsidR="00231120" w:rsidRPr="00643B0D" w:rsidRDefault="00231120" w:rsidP="00231120">
            <w:pPr>
              <w:rPr>
                <w:color w:val="000000" w:themeColor="text1"/>
              </w:rPr>
            </w:pPr>
          </w:p>
        </w:tc>
        <w:tc>
          <w:tcPr>
            <w:tcW w:w="3402" w:type="dxa"/>
            <w:tcBorders>
              <w:left w:val="single" w:sz="4" w:space="0" w:color="auto"/>
            </w:tcBorders>
            <w:shd w:val="clear" w:color="auto" w:fill="auto"/>
            <w:vAlign w:val="top"/>
          </w:tcPr>
          <w:p w14:paraId="2116502E" w14:textId="77777777" w:rsidR="00231120" w:rsidRPr="00806A96" w:rsidRDefault="00231120" w:rsidP="00231120">
            <w:r>
              <w:t>The material learning environment supports and stimulates the achievement of the goals. Teachers use the available equipment efficiently. The way in which the school shapes the material learning environment is an example of good practice.</w:t>
            </w:r>
          </w:p>
          <w:p w14:paraId="0D1DC554" w14:textId="77777777" w:rsidR="00231120" w:rsidRPr="00643B0D" w:rsidRDefault="00231120" w:rsidP="00231120">
            <w:pPr>
              <w:rPr>
                <w:color w:val="000000" w:themeColor="text1"/>
              </w:rPr>
            </w:pPr>
          </w:p>
        </w:tc>
      </w:tr>
    </w:tbl>
    <w:p w14:paraId="2C98112D" w14:textId="77777777" w:rsidR="00231120" w:rsidRPr="00231120" w:rsidRDefault="00231120" w:rsidP="00231120">
      <w:pPr>
        <w:rPr>
          <w:lang w:eastAsia="nl-NL"/>
        </w:rPr>
      </w:pPr>
    </w:p>
    <w:p w14:paraId="3B32D6F2" w14:textId="77777777" w:rsidR="00F32FE9" w:rsidRDefault="00F32FE9" w:rsidP="00F32FE9">
      <w:pPr>
        <w:pStyle w:val="Kop3"/>
        <w:numPr>
          <w:ilvl w:val="0"/>
          <w:numId w:val="0"/>
        </w:numPr>
        <w:ind w:left="851"/>
        <w:rPr>
          <w:color w:val="000000" w:themeColor="text1"/>
        </w:rPr>
      </w:pPr>
    </w:p>
    <w:p w14:paraId="6EA52628" w14:textId="1FCF572A" w:rsidR="0065387C" w:rsidRPr="00231120" w:rsidRDefault="00F32FE9" w:rsidP="00231120">
      <w:pPr>
        <w:rPr>
          <w:rFonts w:asciiTheme="majorHAnsi" w:hAnsiTheme="majorHAnsi" w:cs="Arial"/>
          <w:bCs/>
          <w:color w:val="000000" w:themeColor="text1"/>
          <w:szCs w:val="24"/>
        </w:rPr>
      </w:pPr>
      <w:r>
        <w:br w:type="page"/>
      </w:r>
    </w:p>
    <w:p w14:paraId="50B5C5C4" w14:textId="40101097" w:rsidR="0065387C" w:rsidRDefault="0065387C" w:rsidP="00231120">
      <w:pPr>
        <w:pStyle w:val="Kop2"/>
        <w:numPr>
          <w:ilvl w:val="0"/>
          <w:numId w:val="0"/>
        </w:numPr>
        <w:ind w:left="851" w:hanging="851"/>
        <w:rPr>
          <w:color w:val="000000" w:themeColor="text1"/>
        </w:rPr>
      </w:pPr>
      <w:bookmarkStart w:id="10" w:name="_U5._Feedback"/>
      <w:bookmarkEnd w:id="10"/>
      <w:r>
        <w:rPr>
          <w:color w:val="000000" w:themeColor="text1"/>
        </w:rPr>
        <w:lastRenderedPageBreak/>
        <w:t xml:space="preserve">U5. Feedback </w:t>
      </w:r>
    </w:p>
    <w:tbl>
      <w:tblPr>
        <w:tblStyle w:val="I20Ontwikkelingsschalen"/>
        <w:tblW w:w="14276" w:type="dxa"/>
        <w:tblLook w:val="0620" w:firstRow="1" w:lastRow="0" w:firstColumn="0" w:lastColumn="0" w:noHBand="1" w:noVBand="1"/>
      </w:tblPr>
      <w:tblGrid>
        <w:gridCol w:w="3410"/>
        <w:gridCol w:w="3410"/>
        <w:gridCol w:w="3410"/>
        <w:gridCol w:w="644"/>
        <w:gridCol w:w="3402"/>
      </w:tblGrid>
      <w:tr w:rsidR="00231120" w:rsidRPr="00F17AD8" w14:paraId="40DD51E7" w14:textId="77777777" w:rsidTr="00200216">
        <w:trPr>
          <w:cnfStyle w:val="100000000000" w:firstRow="1" w:lastRow="0" w:firstColumn="0" w:lastColumn="0" w:oddVBand="0" w:evenVBand="0" w:oddHBand="0" w:evenHBand="0" w:firstRowFirstColumn="0" w:firstRowLastColumn="0" w:lastRowFirstColumn="0" w:lastRowLastColumn="0"/>
          <w:trHeight w:val="20"/>
        </w:trPr>
        <w:tc>
          <w:tcPr>
            <w:tcW w:w="3410" w:type="dxa"/>
            <w:shd w:val="clear" w:color="auto" w:fill="FFD9D9"/>
          </w:tcPr>
          <w:p w14:paraId="52658DEA" w14:textId="77777777" w:rsidR="00231120" w:rsidRPr="00F17AD8" w:rsidRDefault="00231120" w:rsidP="00200216">
            <w:pPr>
              <w:rPr>
                <w:b w:val="0"/>
                <w:color w:val="000000" w:themeColor="text1"/>
              </w:rPr>
            </w:pPr>
            <w:r>
              <w:rPr>
                <w:b w:val="0"/>
                <w:color w:val="000000" w:themeColor="text1"/>
              </w:rPr>
              <w:t xml:space="preserve">below </w:t>
            </w:r>
          </w:p>
          <w:p w14:paraId="1D022E1D" w14:textId="77777777" w:rsidR="00231120" w:rsidRPr="00F17AD8" w:rsidRDefault="00231120" w:rsidP="00200216">
            <w:pPr>
              <w:rPr>
                <w:b w:val="0"/>
                <w:color w:val="000000" w:themeColor="text1"/>
              </w:rPr>
            </w:pPr>
            <w:r>
              <w:rPr>
                <w:b w:val="0"/>
                <w:color w:val="000000" w:themeColor="text1"/>
              </w:rPr>
              <w:t>expectations</w:t>
            </w:r>
          </w:p>
        </w:tc>
        <w:tc>
          <w:tcPr>
            <w:tcW w:w="3410" w:type="dxa"/>
            <w:shd w:val="clear" w:color="auto" w:fill="FFF2CC" w:themeFill="accent2" w:themeFillTint="33"/>
          </w:tcPr>
          <w:p w14:paraId="77AFDBC8" w14:textId="77777777" w:rsidR="00231120" w:rsidRPr="00F17AD8" w:rsidRDefault="00231120" w:rsidP="00200216">
            <w:pPr>
              <w:rPr>
                <w:b w:val="0"/>
                <w:color w:val="000000" w:themeColor="text1"/>
              </w:rPr>
            </w:pPr>
            <w:r>
              <w:rPr>
                <w:b w:val="0"/>
                <w:color w:val="000000" w:themeColor="text1"/>
              </w:rPr>
              <w:t xml:space="preserve">approaches </w:t>
            </w:r>
          </w:p>
          <w:p w14:paraId="308F9246" w14:textId="77777777" w:rsidR="00231120" w:rsidRPr="00F17AD8" w:rsidRDefault="00231120" w:rsidP="00200216">
            <w:pPr>
              <w:rPr>
                <w:b w:val="0"/>
                <w:color w:val="000000" w:themeColor="text1"/>
              </w:rPr>
            </w:pPr>
            <w:r>
              <w:rPr>
                <w:b w:val="0"/>
                <w:color w:val="000000" w:themeColor="text1"/>
              </w:rPr>
              <w:t>expectations</w:t>
            </w:r>
          </w:p>
        </w:tc>
        <w:tc>
          <w:tcPr>
            <w:tcW w:w="3410" w:type="dxa"/>
            <w:tcBorders>
              <w:bottom w:val="single" w:sz="4" w:space="0" w:color="auto"/>
              <w:right w:val="single" w:sz="4" w:space="0" w:color="auto"/>
            </w:tcBorders>
            <w:shd w:val="clear" w:color="auto" w:fill="EAF1DD" w:themeFill="accent5" w:themeFillTint="33"/>
          </w:tcPr>
          <w:p w14:paraId="0EEB62C5" w14:textId="77777777" w:rsidR="00231120" w:rsidRPr="00F17AD8" w:rsidRDefault="00231120" w:rsidP="00200216">
            <w:pPr>
              <w:rPr>
                <w:b w:val="0"/>
                <w:color w:val="000000" w:themeColor="text1"/>
              </w:rPr>
            </w:pPr>
            <w:r>
              <w:rPr>
                <w:b w:val="0"/>
                <w:color w:val="000000" w:themeColor="text1"/>
              </w:rPr>
              <w:t xml:space="preserve">meets </w:t>
            </w:r>
          </w:p>
          <w:p w14:paraId="7738E326" w14:textId="77777777" w:rsidR="00231120" w:rsidRPr="00F17AD8" w:rsidRDefault="00231120" w:rsidP="00200216">
            <w:pPr>
              <w:rPr>
                <w:b w:val="0"/>
                <w:color w:val="000000" w:themeColor="text1"/>
              </w:rPr>
            </w:pPr>
            <w:r>
              <w:rPr>
                <w:b w:val="0"/>
                <w:color w:val="000000" w:themeColor="text1"/>
              </w:rPr>
              <w:t>expectations</w:t>
            </w:r>
          </w:p>
        </w:tc>
        <w:tc>
          <w:tcPr>
            <w:tcW w:w="644" w:type="dxa"/>
            <w:tcBorders>
              <w:top w:val="nil"/>
              <w:left w:val="single" w:sz="4" w:space="0" w:color="auto"/>
              <w:bottom w:val="nil"/>
              <w:right w:val="single" w:sz="4" w:space="0" w:color="auto"/>
            </w:tcBorders>
            <w:shd w:val="clear" w:color="auto" w:fill="auto"/>
          </w:tcPr>
          <w:p w14:paraId="5C6F22DD" w14:textId="77777777" w:rsidR="00231120" w:rsidRPr="00F17AD8" w:rsidRDefault="00231120" w:rsidP="00200216">
            <w:pPr>
              <w:rPr>
                <w:color w:val="000000" w:themeColor="text1"/>
              </w:rPr>
            </w:pPr>
          </w:p>
        </w:tc>
        <w:tc>
          <w:tcPr>
            <w:tcW w:w="3402" w:type="dxa"/>
            <w:tcBorders>
              <w:left w:val="single" w:sz="4" w:space="0" w:color="auto"/>
            </w:tcBorders>
            <w:shd w:val="clear" w:color="auto" w:fill="DBE5F1" w:themeFill="accent3" w:themeFillTint="33"/>
          </w:tcPr>
          <w:p w14:paraId="2E994E14" w14:textId="77777777" w:rsidR="00231120" w:rsidRPr="00F17AD8" w:rsidRDefault="00231120" w:rsidP="00200216">
            <w:pPr>
              <w:rPr>
                <w:b w:val="0"/>
                <w:color w:val="000000" w:themeColor="text1"/>
              </w:rPr>
            </w:pPr>
            <w:r>
              <w:rPr>
                <w:b w:val="0"/>
                <w:color w:val="000000" w:themeColor="text1"/>
              </w:rPr>
              <w:t xml:space="preserve">exceeds </w:t>
            </w:r>
          </w:p>
          <w:p w14:paraId="4A552E48" w14:textId="77777777" w:rsidR="00231120" w:rsidRPr="00F17AD8" w:rsidRDefault="00231120" w:rsidP="00200216">
            <w:pPr>
              <w:rPr>
                <w:b w:val="0"/>
                <w:color w:val="000000" w:themeColor="text1"/>
              </w:rPr>
            </w:pPr>
            <w:r>
              <w:rPr>
                <w:b w:val="0"/>
                <w:color w:val="000000" w:themeColor="text1"/>
              </w:rPr>
              <w:t>expectations</w:t>
            </w:r>
          </w:p>
        </w:tc>
      </w:tr>
      <w:tr w:rsidR="00231120" w:rsidRPr="00F17AD8" w14:paraId="6349F19D" w14:textId="77777777" w:rsidTr="00200216">
        <w:trPr>
          <w:cantSplit w:val="0"/>
          <w:trHeight w:val="284"/>
        </w:trPr>
        <w:tc>
          <w:tcPr>
            <w:tcW w:w="3410" w:type="dxa"/>
            <w:shd w:val="clear" w:color="auto" w:fill="auto"/>
            <w:vAlign w:val="top"/>
          </w:tcPr>
          <w:p w14:paraId="6C1BA93C" w14:textId="77777777" w:rsidR="00231120" w:rsidRPr="00C6408B" w:rsidRDefault="00231120" w:rsidP="00231120">
            <w:r>
              <w:t>Teachers rarely provide feedback that is development-oriented, clear, balanced and motivating, that is in line with pupils’ learning experiences and that takes place in a climate of safety and trust.</w:t>
            </w:r>
          </w:p>
          <w:p w14:paraId="059BEB48" w14:textId="77777777" w:rsidR="00231120" w:rsidRPr="00643B0D" w:rsidRDefault="00231120" w:rsidP="00231120">
            <w:pPr>
              <w:rPr>
                <w:color w:val="000000" w:themeColor="text1"/>
              </w:rPr>
            </w:pPr>
          </w:p>
        </w:tc>
        <w:tc>
          <w:tcPr>
            <w:tcW w:w="3410" w:type="dxa"/>
            <w:shd w:val="clear" w:color="auto" w:fill="auto"/>
            <w:vAlign w:val="top"/>
          </w:tcPr>
          <w:p w14:paraId="7C385968" w14:textId="77777777" w:rsidR="00231120" w:rsidRPr="00C6408B" w:rsidRDefault="00231120" w:rsidP="00231120">
            <w:r>
              <w:t xml:space="preserve">The teachers occasionally give product-oriented feedback, which is clear, constructive, dosed and motivating and which fits within a climate of safety and trust. They miss opportunities to formulate feedback in a development-oriented way and to systematically embed it in the teaching process. </w:t>
            </w:r>
          </w:p>
          <w:p w14:paraId="18CAD94E" w14:textId="77777777" w:rsidR="00231120" w:rsidRPr="00C6408B" w:rsidRDefault="00231120" w:rsidP="00231120"/>
          <w:p w14:paraId="38FF35D1" w14:textId="77777777" w:rsidR="00231120" w:rsidRPr="00C6408B" w:rsidRDefault="00231120" w:rsidP="00231120"/>
          <w:p w14:paraId="499DCCE6" w14:textId="77777777" w:rsidR="00231120" w:rsidRPr="00643B0D" w:rsidRDefault="00231120" w:rsidP="00231120">
            <w:pPr>
              <w:rPr>
                <w:color w:val="000000" w:themeColor="text1"/>
              </w:rPr>
            </w:pPr>
          </w:p>
        </w:tc>
        <w:tc>
          <w:tcPr>
            <w:tcW w:w="3410" w:type="dxa"/>
            <w:tcBorders>
              <w:right w:val="single" w:sz="4" w:space="0" w:color="auto"/>
            </w:tcBorders>
            <w:shd w:val="clear" w:color="auto" w:fill="auto"/>
            <w:vAlign w:val="top"/>
          </w:tcPr>
          <w:p w14:paraId="31C05A69" w14:textId="77777777" w:rsidR="00231120" w:rsidRPr="00C6408B" w:rsidRDefault="00231120" w:rsidP="00231120">
            <w:r>
              <w:t xml:space="preserve">Teachers regularly provide development-oriented feedback starting from the goals and learning experiences of the pupils. Feedback is focused on both the product and the process. The feedback is generally clear, constructive and dosed and takes place in a climate of safety and trust. </w:t>
            </w:r>
          </w:p>
          <w:p w14:paraId="45CA5FAF" w14:textId="77777777" w:rsidR="00231120" w:rsidRPr="00643B0D" w:rsidRDefault="00231120" w:rsidP="00231120">
            <w:pPr>
              <w:rPr>
                <w:color w:val="000000" w:themeColor="text1"/>
              </w:rPr>
            </w:pPr>
          </w:p>
        </w:tc>
        <w:tc>
          <w:tcPr>
            <w:tcW w:w="644" w:type="dxa"/>
            <w:tcBorders>
              <w:top w:val="nil"/>
              <w:left w:val="single" w:sz="4" w:space="0" w:color="auto"/>
              <w:bottom w:val="nil"/>
              <w:right w:val="single" w:sz="4" w:space="0" w:color="auto"/>
            </w:tcBorders>
            <w:shd w:val="clear" w:color="auto" w:fill="auto"/>
            <w:vAlign w:val="top"/>
          </w:tcPr>
          <w:p w14:paraId="7FC58507" w14:textId="77777777" w:rsidR="00231120" w:rsidRPr="00643B0D" w:rsidRDefault="00231120" w:rsidP="00231120">
            <w:pPr>
              <w:rPr>
                <w:color w:val="000000" w:themeColor="text1"/>
              </w:rPr>
            </w:pPr>
          </w:p>
        </w:tc>
        <w:tc>
          <w:tcPr>
            <w:tcW w:w="3402" w:type="dxa"/>
            <w:tcBorders>
              <w:left w:val="single" w:sz="4" w:space="0" w:color="auto"/>
            </w:tcBorders>
            <w:shd w:val="clear" w:color="auto" w:fill="auto"/>
            <w:vAlign w:val="top"/>
          </w:tcPr>
          <w:p w14:paraId="7D15B9BB" w14:textId="77777777" w:rsidR="00231120" w:rsidRPr="00C6408B" w:rsidRDefault="00231120" w:rsidP="00231120">
            <w:r>
              <w:t>Feedback is an integral part of the teaching process. The feedback is well-balanced towards the person, the product, the process and the self-regulation and is development-oriented. In a climate of safety and trust, both the teacher and the pupils have opportunities to give and receive clear, constructive and motivating feedback. The way teachers give feedback is an example of good practice.</w:t>
            </w:r>
          </w:p>
          <w:p w14:paraId="578D502F" w14:textId="77777777" w:rsidR="00231120" w:rsidRPr="00643B0D" w:rsidRDefault="00231120" w:rsidP="00231120">
            <w:pPr>
              <w:rPr>
                <w:color w:val="000000" w:themeColor="text1"/>
              </w:rPr>
            </w:pPr>
          </w:p>
        </w:tc>
      </w:tr>
    </w:tbl>
    <w:p w14:paraId="1146D6DA" w14:textId="51B60B3F" w:rsidR="0065387C" w:rsidRDefault="0065387C" w:rsidP="00231120">
      <w:pPr>
        <w:pStyle w:val="Kop2"/>
        <w:numPr>
          <w:ilvl w:val="0"/>
          <w:numId w:val="0"/>
        </w:numPr>
        <w:rPr>
          <w:color w:val="000000" w:themeColor="text1"/>
        </w:rPr>
      </w:pPr>
      <w:bookmarkStart w:id="11" w:name="_U6._Evaluatie"/>
      <w:bookmarkEnd w:id="11"/>
      <w:r>
        <w:rPr>
          <w:color w:val="000000" w:themeColor="text1"/>
        </w:rPr>
        <w:t xml:space="preserve">U6. Pupil evaluation </w:t>
      </w:r>
    </w:p>
    <w:tbl>
      <w:tblPr>
        <w:tblStyle w:val="I20Ontwikkelingsschalen"/>
        <w:tblW w:w="14276" w:type="dxa"/>
        <w:tblLook w:val="0620" w:firstRow="1" w:lastRow="0" w:firstColumn="0" w:lastColumn="0" w:noHBand="1" w:noVBand="1"/>
      </w:tblPr>
      <w:tblGrid>
        <w:gridCol w:w="3410"/>
        <w:gridCol w:w="3410"/>
        <w:gridCol w:w="3410"/>
        <w:gridCol w:w="644"/>
        <w:gridCol w:w="3402"/>
      </w:tblGrid>
      <w:tr w:rsidR="00231120" w:rsidRPr="00F17AD8" w14:paraId="0D38EC85" w14:textId="77777777" w:rsidTr="00200216">
        <w:trPr>
          <w:cnfStyle w:val="100000000000" w:firstRow="1" w:lastRow="0" w:firstColumn="0" w:lastColumn="0" w:oddVBand="0" w:evenVBand="0" w:oddHBand="0" w:evenHBand="0" w:firstRowFirstColumn="0" w:firstRowLastColumn="0" w:lastRowFirstColumn="0" w:lastRowLastColumn="0"/>
          <w:trHeight w:val="20"/>
        </w:trPr>
        <w:tc>
          <w:tcPr>
            <w:tcW w:w="3410" w:type="dxa"/>
            <w:shd w:val="clear" w:color="auto" w:fill="FFD9D9"/>
          </w:tcPr>
          <w:p w14:paraId="082809C2" w14:textId="77777777" w:rsidR="00231120" w:rsidRPr="00F17AD8" w:rsidRDefault="00231120" w:rsidP="00200216">
            <w:pPr>
              <w:rPr>
                <w:b w:val="0"/>
                <w:color w:val="000000" w:themeColor="text1"/>
              </w:rPr>
            </w:pPr>
            <w:r>
              <w:rPr>
                <w:b w:val="0"/>
                <w:color w:val="000000" w:themeColor="text1"/>
              </w:rPr>
              <w:t xml:space="preserve">below </w:t>
            </w:r>
          </w:p>
          <w:p w14:paraId="030B0C4E" w14:textId="77777777" w:rsidR="00231120" w:rsidRPr="00F17AD8" w:rsidRDefault="00231120" w:rsidP="00200216">
            <w:pPr>
              <w:rPr>
                <w:b w:val="0"/>
                <w:color w:val="000000" w:themeColor="text1"/>
              </w:rPr>
            </w:pPr>
            <w:r>
              <w:rPr>
                <w:b w:val="0"/>
                <w:color w:val="000000" w:themeColor="text1"/>
              </w:rPr>
              <w:t>expectations</w:t>
            </w:r>
          </w:p>
        </w:tc>
        <w:tc>
          <w:tcPr>
            <w:tcW w:w="3410" w:type="dxa"/>
            <w:shd w:val="clear" w:color="auto" w:fill="FFF2CC" w:themeFill="accent2" w:themeFillTint="33"/>
          </w:tcPr>
          <w:p w14:paraId="59E3C1FC" w14:textId="77777777" w:rsidR="00231120" w:rsidRPr="00F17AD8" w:rsidRDefault="00231120" w:rsidP="00200216">
            <w:pPr>
              <w:rPr>
                <w:b w:val="0"/>
                <w:color w:val="000000" w:themeColor="text1"/>
              </w:rPr>
            </w:pPr>
            <w:r>
              <w:rPr>
                <w:b w:val="0"/>
                <w:color w:val="000000" w:themeColor="text1"/>
              </w:rPr>
              <w:t xml:space="preserve">approaches </w:t>
            </w:r>
          </w:p>
          <w:p w14:paraId="1195BC7D" w14:textId="77777777" w:rsidR="00231120" w:rsidRPr="00F17AD8" w:rsidRDefault="00231120" w:rsidP="00200216">
            <w:pPr>
              <w:rPr>
                <w:b w:val="0"/>
                <w:color w:val="000000" w:themeColor="text1"/>
              </w:rPr>
            </w:pPr>
            <w:r>
              <w:rPr>
                <w:b w:val="0"/>
                <w:color w:val="000000" w:themeColor="text1"/>
              </w:rPr>
              <w:t>expectations</w:t>
            </w:r>
          </w:p>
        </w:tc>
        <w:tc>
          <w:tcPr>
            <w:tcW w:w="3410" w:type="dxa"/>
            <w:tcBorders>
              <w:bottom w:val="single" w:sz="4" w:space="0" w:color="auto"/>
              <w:right w:val="single" w:sz="4" w:space="0" w:color="auto"/>
            </w:tcBorders>
            <w:shd w:val="clear" w:color="auto" w:fill="EAF1DD" w:themeFill="accent5" w:themeFillTint="33"/>
          </w:tcPr>
          <w:p w14:paraId="386CCD05" w14:textId="77777777" w:rsidR="00231120" w:rsidRPr="00F17AD8" w:rsidRDefault="00231120" w:rsidP="00200216">
            <w:pPr>
              <w:rPr>
                <w:b w:val="0"/>
                <w:color w:val="000000" w:themeColor="text1"/>
              </w:rPr>
            </w:pPr>
            <w:r>
              <w:rPr>
                <w:b w:val="0"/>
                <w:color w:val="000000" w:themeColor="text1"/>
              </w:rPr>
              <w:t xml:space="preserve">meets </w:t>
            </w:r>
          </w:p>
          <w:p w14:paraId="410208D7" w14:textId="77777777" w:rsidR="00231120" w:rsidRPr="00F17AD8" w:rsidRDefault="00231120" w:rsidP="00200216">
            <w:pPr>
              <w:rPr>
                <w:b w:val="0"/>
                <w:color w:val="000000" w:themeColor="text1"/>
              </w:rPr>
            </w:pPr>
            <w:r>
              <w:rPr>
                <w:b w:val="0"/>
                <w:color w:val="000000" w:themeColor="text1"/>
              </w:rPr>
              <w:t>expectations</w:t>
            </w:r>
          </w:p>
        </w:tc>
        <w:tc>
          <w:tcPr>
            <w:tcW w:w="644" w:type="dxa"/>
            <w:tcBorders>
              <w:top w:val="nil"/>
              <w:left w:val="single" w:sz="4" w:space="0" w:color="auto"/>
              <w:bottom w:val="nil"/>
              <w:right w:val="single" w:sz="4" w:space="0" w:color="auto"/>
            </w:tcBorders>
            <w:shd w:val="clear" w:color="auto" w:fill="auto"/>
          </w:tcPr>
          <w:p w14:paraId="0619F9A6" w14:textId="77777777" w:rsidR="00231120" w:rsidRPr="00F17AD8" w:rsidRDefault="00231120" w:rsidP="00200216">
            <w:pPr>
              <w:rPr>
                <w:color w:val="000000" w:themeColor="text1"/>
              </w:rPr>
            </w:pPr>
          </w:p>
        </w:tc>
        <w:tc>
          <w:tcPr>
            <w:tcW w:w="3402" w:type="dxa"/>
            <w:tcBorders>
              <w:left w:val="single" w:sz="4" w:space="0" w:color="auto"/>
            </w:tcBorders>
            <w:shd w:val="clear" w:color="auto" w:fill="DBE5F1" w:themeFill="accent3" w:themeFillTint="33"/>
          </w:tcPr>
          <w:p w14:paraId="2D8B0B1B" w14:textId="77777777" w:rsidR="00231120" w:rsidRPr="00F17AD8" w:rsidRDefault="00231120" w:rsidP="00200216">
            <w:pPr>
              <w:rPr>
                <w:b w:val="0"/>
                <w:color w:val="000000" w:themeColor="text1"/>
              </w:rPr>
            </w:pPr>
            <w:r>
              <w:rPr>
                <w:b w:val="0"/>
                <w:color w:val="000000" w:themeColor="text1"/>
              </w:rPr>
              <w:t xml:space="preserve">exceeds </w:t>
            </w:r>
          </w:p>
          <w:p w14:paraId="4A35CE52" w14:textId="77777777" w:rsidR="00231120" w:rsidRPr="00F17AD8" w:rsidRDefault="00231120" w:rsidP="00200216">
            <w:pPr>
              <w:rPr>
                <w:b w:val="0"/>
                <w:color w:val="000000" w:themeColor="text1"/>
              </w:rPr>
            </w:pPr>
            <w:r>
              <w:rPr>
                <w:b w:val="0"/>
                <w:color w:val="000000" w:themeColor="text1"/>
              </w:rPr>
              <w:t>expectations</w:t>
            </w:r>
          </w:p>
        </w:tc>
      </w:tr>
      <w:tr w:rsidR="00231120" w:rsidRPr="00F17AD8" w14:paraId="1AABDE04" w14:textId="77777777" w:rsidTr="00200216">
        <w:trPr>
          <w:cantSplit w:val="0"/>
          <w:trHeight w:val="284"/>
        </w:trPr>
        <w:tc>
          <w:tcPr>
            <w:tcW w:w="3410" w:type="dxa"/>
            <w:shd w:val="clear" w:color="auto" w:fill="auto"/>
            <w:vAlign w:val="top"/>
          </w:tcPr>
          <w:p w14:paraId="5BD65DCA" w14:textId="49A23936" w:rsidR="00231120" w:rsidRPr="00643B0D" w:rsidRDefault="00231120" w:rsidP="00231120">
            <w:pPr>
              <w:rPr>
                <w:color w:val="000000" w:themeColor="text1"/>
              </w:rPr>
            </w:pPr>
            <w:r>
              <w:t>The evaluation is not sufficiently representative of the validated target framework. The evaluation is insufficiently transparent, insufficiently attuned to the target group and barely integrated into the educational learning process.</w:t>
            </w:r>
          </w:p>
        </w:tc>
        <w:tc>
          <w:tcPr>
            <w:tcW w:w="3410" w:type="dxa"/>
            <w:shd w:val="clear" w:color="auto" w:fill="auto"/>
            <w:vAlign w:val="top"/>
          </w:tcPr>
          <w:p w14:paraId="49D9066B" w14:textId="6F79B058" w:rsidR="00231120" w:rsidRPr="00643B0D" w:rsidRDefault="00231120" w:rsidP="00231120">
            <w:pPr>
              <w:rPr>
                <w:color w:val="000000" w:themeColor="text1"/>
              </w:rPr>
            </w:pPr>
            <w:r>
              <w:t xml:space="preserve">The evaluation is limitedly representative of the validated target framework and of the supply. Teachers are still missing opportunities to arrive at a transparent, reliable and comprehensive evaluation, which is tailored to the target group. </w:t>
            </w:r>
          </w:p>
        </w:tc>
        <w:tc>
          <w:tcPr>
            <w:tcW w:w="3410" w:type="dxa"/>
            <w:tcBorders>
              <w:right w:val="single" w:sz="4" w:space="0" w:color="auto"/>
            </w:tcBorders>
            <w:shd w:val="clear" w:color="auto" w:fill="auto"/>
            <w:vAlign w:val="top"/>
          </w:tcPr>
          <w:p w14:paraId="25D81043" w14:textId="2A6F171B" w:rsidR="00231120" w:rsidRPr="00643B0D" w:rsidRDefault="00231120" w:rsidP="00231120">
            <w:pPr>
              <w:rPr>
                <w:color w:val="000000" w:themeColor="text1"/>
              </w:rPr>
            </w:pPr>
            <w:r>
              <w:t xml:space="preserve">The evaluation is representative of the validated target framework and of the supply. The evaluation is transparent, reliable, broad, attuned to the target group and integrated into the teaching process. </w:t>
            </w:r>
          </w:p>
        </w:tc>
        <w:tc>
          <w:tcPr>
            <w:tcW w:w="644" w:type="dxa"/>
            <w:tcBorders>
              <w:top w:val="nil"/>
              <w:left w:val="single" w:sz="4" w:space="0" w:color="auto"/>
              <w:bottom w:val="nil"/>
              <w:right w:val="single" w:sz="4" w:space="0" w:color="auto"/>
            </w:tcBorders>
            <w:shd w:val="clear" w:color="auto" w:fill="auto"/>
            <w:vAlign w:val="top"/>
          </w:tcPr>
          <w:p w14:paraId="6CF4A890" w14:textId="77777777" w:rsidR="00231120" w:rsidRPr="00643B0D" w:rsidRDefault="00231120" w:rsidP="00231120">
            <w:pPr>
              <w:rPr>
                <w:color w:val="000000" w:themeColor="text1"/>
              </w:rPr>
            </w:pPr>
          </w:p>
        </w:tc>
        <w:tc>
          <w:tcPr>
            <w:tcW w:w="3402" w:type="dxa"/>
            <w:tcBorders>
              <w:left w:val="single" w:sz="4" w:space="0" w:color="auto"/>
            </w:tcBorders>
            <w:shd w:val="clear" w:color="auto" w:fill="auto"/>
            <w:vAlign w:val="top"/>
          </w:tcPr>
          <w:p w14:paraId="03C93031" w14:textId="77777777" w:rsidR="00231120" w:rsidRPr="00C6408B" w:rsidRDefault="00231120" w:rsidP="00231120">
            <w:r>
              <w:t>The evaluation is representative of the validated target framework and of the supply. The evaluation is transparent, reliable, broad, authentic, attuned to the target group and integrated into the teaching process. The way teachers evaluate pupils is an example of good practice.</w:t>
            </w:r>
          </w:p>
          <w:p w14:paraId="00F38E6F" w14:textId="77777777" w:rsidR="00231120" w:rsidRPr="00643B0D" w:rsidRDefault="00231120" w:rsidP="00231120">
            <w:pPr>
              <w:rPr>
                <w:color w:val="000000" w:themeColor="text1"/>
              </w:rPr>
            </w:pPr>
          </w:p>
        </w:tc>
      </w:tr>
    </w:tbl>
    <w:p w14:paraId="4FDA6380" w14:textId="77777777" w:rsidR="00231120" w:rsidRPr="00231120" w:rsidRDefault="00231120" w:rsidP="00231120">
      <w:pPr>
        <w:rPr>
          <w:lang w:eastAsia="nl-NL"/>
        </w:rPr>
      </w:pPr>
    </w:p>
    <w:p w14:paraId="3F3F1C47" w14:textId="0D7E54C5" w:rsidR="0065387C" w:rsidRPr="002339E2" w:rsidRDefault="0065387C" w:rsidP="00BE5A97">
      <w:pPr>
        <w:rPr>
          <w:color w:val="000000" w:themeColor="text1"/>
        </w:rPr>
      </w:pPr>
    </w:p>
    <w:p w14:paraId="784A5137" w14:textId="77777777" w:rsidR="00F32FE9" w:rsidRDefault="00F32FE9">
      <w:pPr>
        <w:rPr>
          <w:rFonts w:asciiTheme="majorHAnsi" w:hAnsiTheme="majorHAnsi" w:cs="Arial"/>
          <w:bCs/>
          <w:color w:val="000000" w:themeColor="text1"/>
          <w:szCs w:val="24"/>
        </w:rPr>
      </w:pPr>
      <w:r>
        <w:br w:type="page"/>
      </w:r>
    </w:p>
    <w:p w14:paraId="20EC567A" w14:textId="4497957B" w:rsidR="0065387C" w:rsidRDefault="0065387C" w:rsidP="00231120">
      <w:pPr>
        <w:pStyle w:val="Kop2"/>
        <w:numPr>
          <w:ilvl w:val="0"/>
          <w:numId w:val="0"/>
        </w:numPr>
        <w:ind w:left="851" w:hanging="851"/>
        <w:rPr>
          <w:color w:val="000000" w:themeColor="text1"/>
        </w:rPr>
      </w:pPr>
      <w:bookmarkStart w:id="12" w:name="_U7._Leereffecten"/>
      <w:bookmarkEnd w:id="12"/>
      <w:r>
        <w:rPr>
          <w:color w:val="000000" w:themeColor="text1"/>
        </w:rPr>
        <w:lastRenderedPageBreak/>
        <w:t>U7. Learning effects</w:t>
      </w:r>
    </w:p>
    <w:tbl>
      <w:tblPr>
        <w:tblStyle w:val="I20Ontwikkelingsschalen"/>
        <w:tblW w:w="14276" w:type="dxa"/>
        <w:tblLook w:val="0620" w:firstRow="1" w:lastRow="0" w:firstColumn="0" w:lastColumn="0" w:noHBand="1" w:noVBand="1"/>
      </w:tblPr>
      <w:tblGrid>
        <w:gridCol w:w="3410"/>
        <w:gridCol w:w="3410"/>
        <w:gridCol w:w="3410"/>
        <w:gridCol w:w="644"/>
        <w:gridCol w:w="3402"/>
      </w:tblGrid>
      <w:tr w:rsidR="00231120" w:rsidRPr="00F17AD8" w14:paraId="2C9EB3EE" w14:textId="77777777" w:rsidTr="00200216">
        <w:trPr>
          <w:cnfStyle w:val="100000000000" w:firstRow="1" w:lastRow="0" w:firstColumn="0" w:lastColumn="0" w:oddVBand="0" w:evenVBand="0" w:oddHBand="0" w:evenHBand="0" w:firstRowFirstColumn="0" w:firstRowLastColumn="0" w:lastRowFirstColumn="0" w:lastRowLastColumn="0"/>
          <w:trHeight w:val="20"/>
        </w:trPr>
        <w:tc>
          <w:tcPr>
            <w:tcW w:w="3410" w:type="dxa"/>
            <w:shd w:val="clear" w:color="auto" w:fill="FFD9D9"/>
          </w:tcPr>
          <w:p w14:paraId="09EB0314" w14:textId="77777777" w:rsidR="00231120" w:rsidRPr="00F17AD8" w:rsidRDefault="00231120" w:rsidP="00200216">
            <w:pPr>
              <w:rPr>
                <w:b w:val="0"/>
                <w:color w:val="000000" w:themeColor="text1"/>
              </w:rPr>
            </w:pPr>
            <w:r>
              <w:rPr>
                <w:b w:val="0"/>
                <w:color w:val="000000" w:themeColor="text1"/>
              </w:rPr>
              <w:t xml:space="preserve">below </w:t>
            </w:r>
          </w:p>
          <w:p w14:paraId="17E1CE17" w14:textId="77777777" w:rsidR="00231120" w:rsidRPr="00F17AD8" w:rsidRDefault="00231120" w:rsidP="00200216">
            <w:pPr>
              <w:rPr>
                <w:b w:val="0"/>
                <w:color w:val="000000" w:themeColor="text1"/>
              </w:rPr>
            </w:pPr>
            <w:r>
              <w:rPr>
                <w:b w:val="0"/>
                <w:color w:val="000000" w:themeColor="text1"/>
              </w:rPr>
              <w:t>expectations</w:t>
            </w:r>
          </w:p>
        </w:tc>
        <w:tc>
          <w:tcPr>
            <w:tcW w:w="3410" w:type="dxa"/>
            <w:shd w:val="clear" w:color="auto" w:fill="FFF2CC" w:themeFill="accent2" w:themeFillTint="33"/>
          </w:tcPr>
          <w:p w14:paraId="4CAC0832" w14:textId="77777777" w:rsidR="00231120" w:rsidRPr="00F17AD8" w:rsidRDefault="00231120" w:rsidP="00200216">
            <w:pPr>
              <w:rPr>
                <w:b w:val="0"/>
                <w:color w:val="000000" w:themeColor="text1"/>
              </w:rPr>
            </w:pPr>
            <w:r>
              <w:rPr>
                <w:b w:val="0"/>
                <w:color w:val="000000" w:themeColor="text1"/>
              </w:rPr>
              <w:t xml:space="preserve">approaches </w:t>
            </w:r>
          </w:p>
          <w:p w14:paraId="7EC336B5" w14:textId="77777777" w:rsidR="00231120" w:rsidRPr="00F17AD8" w:rsidRDefault="00231120" w:rsidP="00200216">
            <w:pPr>
              <w:rPr>
                <w:b w:val="0"/>
                <w:color w:val="000000" w:themeColor="text1"/>
              </w:rPr>
            </w:pPr>
            <w:r>
              <w:rPr>
                <w:b w:val="0"/>
                <w:color w:val="000000" w:themeColor="text1"/>
              </w:rPr>
              <w:t>expectations</w:t>
            </w:r>
          </w:p>
        </w:tc>
        <w:tc>
          <w:tcPr>
            <w:tcW w:w="3410" w:type="dxa"/>
            <w:tcBorders>
              <w:bottom w:val="single" w:sz="4" w:space="0" w:color="auto"/>
              <w:right w:val="single" w:sz="4" w:space="0" w:color="auto"/>
            </w:tcBorders>
            <w:shd w:val="clear" w:color="auto" w:fill="EAF1DD" w:themeFill="accent5" w:themeFillTint="33"/>
          </w:tcPr>
          <w:p w14:paraId="2216C813" w14:textId="77777777" w:rsidR="00231120" w:rsidRPr="00F17AD8" w:rsidRDefault="00231120" w:rsidP="00200216">
            <w:pPr>
              <w:rPr>
                <w:b w:val="0"/>
                <w:color w:val="000000" w:themeColor="text1"/>
              </w:rPr>
            </w:pPr>
            <w:r>
              <w:rPr>
                <w:b w:val="0"/>
                <w:color w:val="000000" w:themeColor="text1"/>
              </w:rPr>
              <w:t xml:space="preserve">meets </w:t>
            </w:r>
          </w:p>
          <w:p w14:paraId="5F06405D" w14:textId="77777777" w:rsidR="00231120" w:rsidRPr="00F17AD8" w:rsidRDefault="00231120" w:rsidP="00200216">
            <w:pPr>
              <w:rPr>
                <w:b w:val="0"/>
                <w:color w:val="000000" w:themeColor="text1"/>
              </w:rPr>
            </w:pPr>
            <w:r>
              <w:rPr>
                <w:b w:val="0"/>
                <w:color w:val="000000" w:themeColor="text1"/>
              </w:rPr>
              <w:t>expectations</w:t>
            </w:r>
          </w:p>
        </w:tc>
        <w:tc>
          <w:tcPr>
            <w:tcW w:w="644" w:type="dxa"/>
            <w:tcBorders>
              <w:top w:val="nil"/>
              <w:left w:val="single" w:sz="4" w:space="0" w:color="auto"/>
              <w:bottom w:val="nil"/>
              <w:right w:val="single" w:sz="4" w:space="0" w:color="auto"/>
            </w:tcBorders>
            <w:shd w:val="clear" w:color="auto" w:fill="auto"/>
          </w:tcPr>
          <w:p w14:paraId="0DE02A39" w14:textId="77777777" w:rsidR="00231120" w:rsidRPr="00F17AD8" w:rsidRDefault="00231120" w:rsidP="00200216">
            <w:pPr>
              <w:rPr>
                <w:color w:val="000000" w:themeColor="text1"/>
              </w:rPr>
            </w:pPr>
          </w:p>
        </w:tc>
        <w:tc>
          <w:tcPr>
            <w:tcW w:w="3402" w:type="dxa"/>
            <w:tcBorders>
              <w:left w:val="single" w:sz="4" w:space="0" w:color="auto"/>
            </w:tcBorders>
            <w:shd w:val="clear" w:color="auto" w:fill="DBE5F1" w:themeFill="accent3" w:themeFillTint="33"/>
          </w:tcPr>
          <w:p w14:paraId="6BC0788A" w14:textId="77777777" w:rsidR="00231120" w:rsidRPr="00F17AD8" w:rsidRDefault="00231120" w:rsidP="00200216">
            <w:pPr>
              <w:rPr>
                <w:b w:val="0"/>
                <w:color w:val="000000" w:themeColor="text1"/>
              </w:rPr>
            </w:pPr>
            <w:r>
              <w:rPr>
                <w:b w:val="0"/>
                <w:color w:val="000000" w:themeColor="text1"/>
              </w:rPr>
              <w:t xml:space="preserve">exceeds </w:t>
            </w:r>
          </w:p>
          <w:p w14:paraId="51DD29F0" w14:textId="77777777" w:rsidR="00231120" w:rsidRPr="00F17AD8" w:rsidRDefault="00231120" w:rsidP="00200216">
            <w:pPr>
              <w:rPr>
                <w:b w:val="0"/>
                <w:color w:val="000000" w:themeColor="text1"/>
              </w:rPr>
            </w:pPr>
            <w:r>
              <w:rPr>
                <w:b w:val="0"/>
                <w:color w:val="000000" w:themeColor="text1"/>
              </w:rPr>
              <w:t>expectations</w:t>
            </w:r>
          </w:p>
        </w:tc>
      </w:tr>
      <w:tr w:rsidR="00231120" w:rsidRPr="00F17AD8" w14:paraId="2A967A9B" w14:textId="77777777" w:rsidTr="00200216">
        <w:trPr>
          <w:cantSplit w:val="0"/>
          <w:trHeight w:val="284"/>
        </w:trPr>
        <w:tc>
          <w:tcPr>
            <w:tcW w:w="3410" w:type="dxa"/>
            <w:shd w:val="clear" w:color="auto" w:fill="auto"/>
            <w:vAlign w:val="top"/>
          </w:tcPr>
          <w:p w14:paraId="4E68C309" w14:textId="77777777" w:rsidR="00231120" w:rsidRPr="002339E2" w:rsidRDefault="00231120" w:rsidP="00231120">
            <w:pPr>
              <w:rPr>
                <w:color w:val="000000" w:themeColor="text1"/>
              </w:rPr>
            </w:pPr>
            <w:r>
              <w:rPr>
                <w:color w:val="000000" w:themeColor="text1"/>
              </w:rPr>
              <w:t>The school cannot demonstrate that as large a group of pupils as possible achieves the minimum desired output.</w:t>
            </w:r>
          </w:p>
          <w:p w14:paraId="5F697FD6" w14:textId="77777777" w:rsidR="00231120" w:rsidRPr="00643B0D" w:rsidRDefault="00231120" w:rsidP="00231120">
            <w:pPr>
              <w:rPr>
                <w:color w:val="000000" w:themeColor="text1"/>
              </w:rPr>
            </w:pPr>
          </w:p>
        </w:tc>
        <w:tc>
          <w:tcPr>
            <w:tcW w:w="3410" w:type="dxa"/>
            <w:shd w:val="clear" w:color="auto" w:fill="auto"/>
            <w:vAlign w:val="top"/>
          </w:tcPr>
          <w:p w14:paraId="240F1653" w14:textId="77777777" w:rsidR="00231120" w:rsidRPr="00806A96" w:rsidRDefault="00231120" w:rsidP="00231120">
            <w:r>
              <w:t xml:space="preserve">The teaching practice, the quality management of the teaching practice and pupil welfare offer some guarantees that as large a group of pupils as possible will achieve the minimum desired output. </w:t>
            </w:r>
          </w:p>
          <w:p w14:paraId="6D5A0E6E" w14:textId="77777777" w:rsidR="00231120" w:rsidRPr="00643B0D" w:rsidRDefault="00231120" w:rsidP="00231120">
            <w:pPr>
              <w:rPr>
                <w:color w:val="000000" w:themeColor="text1"/>
              </w:rPr>
            </w:pPr>
          </w:p>
        </w:tc>
        <w:tc>
          <w:tcPr>
            <w:tcW w:w="3410" w:type="dxa"/>
            <w:tcBorders>
              <w:right w:val="single" w:sz="4" w:space="0" w:color="auto"/>
            </w:tcBorders>
            <w:shd w:val="clear" w:color="auto" w:fill="auto"/>
            <w:vAlign w:val="top"/>
          </w:tcPr>
          <w:p w14:paraId="71D830C3" w14:textId="77777777" w:rsidR="00231120" w:rsidRPr="002339E2" w:rsidRDefault="00231120" w:rsidP="00231120">
            <w:pPr>
              <w:rPr>
                <w:color w:val="000000" w:themeColor="text1"/>
              </w:rPr>
            </w:pPr>
            <w:r>
              <w:rPr>
                <w:color w:val="000000" w:themeColor="text1"/>
              </w:rPr>
              <w:t>The teaching practice, the quality management of the teaching practice and pupil welfare show that as large a group of pupils as possible achieves the minimum desired output.</w:t>
            </w:r>
          </w:p>
          <w:p w14:paraId="32E87C0F" w14:textId="77777777" w:rsidR="00231120" w:rsidRPr="00643B0D" w:rsidRDefault="00231120" w:rsidP="00231120">
            <w:pPr>
              <w:rPr>
                <w:color w:val="000000" w:themeColor="text1"/>
              </w:rPr>
            </w:pPr>
          </w:p>
        </w:tc>
        <w:tc>
          <w:tcPr>
            <w:tcW w:w="644" w:type="dxa"/>
            <w:tcBorders>
              <w:top w:val="nil"/>
              <w:left w:val="single" w:sz="4" w:space="0" w:color="auto"/>
              <w:bottom w:val="nil"/>
              <w:right w:val="single" w:sz="4" w:space="0" w:color="auto"/>
            </w:tcBorders>
            <w:shd w:val="clear" w:color="auto" w:fill="auto"/>
            <w:vAlign w:val="top"/>
          </w:tcPr>
          <w:p w14:paraId="1BEC2D15" w14:textId="77777777" w:rsidR="00231120" w:rsidRPr="00643B0D" w:rsidRDefault="00231120" w:rsidP="00231120">
            <w:pPr>
              <w:rPr>
                <w:color w:val="000000" w:themeColor="text1"/>
              </w:rPr>
            </w:pPr>
          </w:p>
        </w:tc>
        <w:tc>
          <w:tcPr>
            <w:tcW w:w="3402" w:type="dxa"/>
            <w:tcBorders>
              <w:left w:val="single" w:sz="4" w:space="0" w:color="auto"/>
            </w:tcBorders>
            <w:shd w:val="clear" w:color="auto" w:fill="auto"/>
            <w:vAlign w:val="top"/>
          </w:tcPr>
          <w:p w14:paraId="57A97A23" w14:textId="77777777" w:rsidR="00231120" w:rsidRPr="002339E2" w:rsidRDefault="00231120" w:rsidP="00231120">
            <w:pPr>
              <w:rPr>
                <w:color w:val="000000" w:themeColor="text1"/>
              </w:rPr>
            </w:pPr>
            <w:r>
              <w:rPr>
                <w:color w:val="000000" w:themeColor="text1"/>
              </w:rPr>
              <w:t>The teaching practice, the quality management of the teaching practice and pupil welfare offer ample guarantees that as large a group of pupils as possible will achieve the minimum desired output. The way in which teachers pursue maximum learning effects is an example of good practice.</w:t>
            </w:r>
          </w:p>
          <w:p w14:paraId="4E8A4C1B" w14:textId="77777777" w:rsidR="00231120" w:rsidRPr="00643B0D" w:rsidRDefault="00231120" w:rsidP="00231120">
            <w:pPr>
              <w:rPr>
                <w:color w:val="000000" w:themeColor="text1"/>
              </w:rPr>
            </w:pPr>
          </w:p>
        </w:tc>
      </w:tr>
    </w:tbl>
    <w:p w14:paraId="064E6E52" w14:textId="77777777" w:rsidR="00231120" w:rsidRPr="00231120" w:rsidRDefault="00231120" w:rsidP="00231120">
      <w:pPr>
        <w:rPr>
          <w:lang w:eastAsia="nl-NL"/>
        </w:rPr>
      </w:pPr>
    </w:p>
    <w:sectPr w:rsidR="00231120" w:rsidRPr="00231120" w:rsidSect="003F223D">
      <w:headerReference w:type="default" r:id="rId14"/>
      <w:footerReference w:type="default" r:id="rId15"/>
      <w:headerReference w:type="first" r:id="rId16"/>
      <w:footerReference w:type="first" r:id="rId17"/>
      <w:pgSz w:w="16838" w:h="11906" w:orient="landscape" w:code="9"/>
      <w:pgMar w:top="1418" w:right="1418" w:bottom="1418" w:left="1134"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F5C76" w14:textId="77777777" w:rsidR="002A6F4C" w:rsidRDefault="002A6F4C" w:rsidP="00AD798D">
      <w:r>
        <w:separator/>
      </w:r>
    </w:p>
  </w:endnote>
  <w:endnote w:type="continuationSeparator" w:id="0">
    <w:p w14:paraId="58C4C534" w14:textId="77777777" w:rsidR="002A6F4C" w:rsidRDefault="002A6F4C" w:rsidP="00AD798D">
      <w:r>
        <w:continuationSeparator/>
      </w:r>
    </w:p>
  </w:endnote>
  <w:endnote w:type="continuationNotice" w:id="1">
    <w:p w14:paraId="78992E71" w14:textId="77777777" w:rsidR="002A6F4C" w:rsidRDefault="002A6F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Bold">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053FA" w14:textId="32C898C5" w:rsidR="008602AF" w:rsidRPr="0037279B" w:rsidRDefault="00744BC3" w:rsidP="003F223D">
    <w:pPr>
      <w:pStyle w:val="Voettekst"/>
      <w:tabs>
        <w:tab w:val="clear" w:pos="9072"/>
        <w:tab w:val="right" w:pos="14286"/>
      </w:tabs>
    </w:pPr>
    <w:r>
      <w:t>School year 2019-2020</w:t>
    </w:r>
    <w:r>
      <w:tab/>
    </w:r>
    <w:r w:rsidR="008602AF" w:rsidRPr="00155042">
      <w:fldChar w:fldCharType="begin"/>
    </w:r>
    <w:r w:rsidR="008602AF" w:rsidRPr="00155042">
      <w:instrText xml:space="preserve"> PAGE   \* MERGEFORMAT </w:instrText>
    </w:r>
    <w:r w:rsidR="008602AF" w:rsidRPr="00155042">
      <w:fldChar w:fldCharType="separate"/>
    </w:r>
    <w:r w:rsidR="00B2639C">
      <w:rPr>
        <w:noProof/>
      </w:rPr>
      <w:t>1</w:t>
    </w:r>
    <w:r w:rsidR="008602AF" w:rsidRPr="00155042">
      <w:fldChar w:fldCharType="end"/>
    </w:r>
    <w:r>
      <w:t>/</w:t>
    </w:r>
    <w:fldSimple w:instr=" NUMPAGES  \* Arabic  \* MERGEFORMAT ">
      <w:r w:rsidR="00B2639C">
        <w:rPr>
          <w:noProof/>
        </w:rPr>
        <w:t>6</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FA3A3" w14:textId="3CBE6300" w:rsidR="008602AF" w:rsidRDefault="00615780">
    <w:pPr>
      <w:pStyle w:val="Voettekst"/>
    </w:pPr>
    <w:fldSimple w:instr=" FILENAME   \* MERGEFORMAT ">
      <w:r w:rsidR="00197A69">
        <w:t>Ontwikkelingsschalen 2019-2020 onderwijsleerpraktijk gbao-lo</w:t>
      </w:r>
    </w:fldSimple>
    <w:r w:rsidR="008602AF">
      <w:tab/>
    </w:r>
    <w:r w:rsidR="008602AF" w:rsidRPr="00155042">
      <w:fldChar w:fldCharType="begin"/>
    </w:r>
    <w:r w:rsidR="008602AF" w:rsidRPr="00155042">
      <w:instrText xml:space="preserve"> PAGE   \* MERGEFORMAT </w:instrText>
    </w:r>
    <w:r w:rsidR="008602AF" w:rsidRPr="00155042">
      <w:fldChar w:fldCharType="separate"/>
    </w:r>
    <w:r w:rsidR="008602AF">
      <w:t>1</w:t>
    </w:r>
    <w:r w:rsidR="008602AF" w:rsidRPr="00155042">
      <w:fldChar w:fldCharType="end"/>
    </w:r>
    <w:r w:rsidR="008602AF">
      <w:t>/</w:t>
    </w:r>
    <w:fldSimple w:instr=" NUMPAGES  \* Arabic  \* MERGEFORMAT ">
      <w:r w:rsidR="008602AF">
        <w:t>25</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569AD" w14:textId="77777777" w:rsidR="002A6F4C" w:rsidRDefault="002A6F4C" w:rsidP="00AD798D">
      <w:r>
        <w:separator/>
      </w:r>
    </w:p>
  </w:footnote>
  <w:footnote w:type="continuationSeparator" w:id="0">
    <w:p w14:paraId="5A7E577B" w14:textId="77777777" w:rsidR="002A6F4C" w:rsidRDefault="002A6F4C" w:rsidP="00AD798D">
      <w:r>
        <w:continuationSeparator/>
      </w:r>
    </w:p>
  </w:footnote>
  <w:footnote w:type="continuationNotice" w:id="1">
    <w:p w14:paraId="59391F38" w14:textId="77777777" w:rsidR="002A6F4C" w:rsidRDefault="002A6F4C" w:rsidP="00AD798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2400B" w14:textId="77777777" w:rsidR="008602AF" w:rsidRDefault="008602AF" w:rsidP="00AD798D">
    <w:pPr>
      <w:pStyle w:val="Koptekst"/>
    </w:pPr>
    <w:r>
      <w:rPr>
        <w:noProof/>
        <w:lang w:val="nl-NL" w:eastAsia="nl-NL"/>
      </w:rPr>
      <mc:AlternateContent>
        <mc:Choice Requires="wps">
          <w:drawing>
            <wp:anchor distT="0" distB="0" distL="114300" distR="114300" simplePos="0" relativeHeight="251658242" behindDoc="1" locked="1" layoutInCell="1" allowOverlap="1" wp14:anchorId="000B263F" wp14:editId="44A74732">
              <wp:simplePos x="0" y="0"/>
              <wp:positionH relativeFrom="page">
                <wp:posOffset>-252730</wp:posOffset>
              </wp:positionH>
              <wp:positionV relativeFrom="page">
                <wp:align>top</wp:align>
              </wp:positionV>
              <wp:extent cx="359410" cy="10691495"/>
              <wp:effectExtent l="0" t="0" r="2540" b="0"/>
              <wp:wrapNone/>
              <wp:docPr id="1" name="Rechthoek 1"/>
              <wp:cNvGraphicFramePr/>
              <a:graphic xmlns:a="http://schemas.openxmlformats.org/drawingml/2006/main">
                <a:graphicData uri="http://schemas.microsoft.com/office/word/2010/wordprocessingShape">
                  <wps:wsp>
                    <wps:cNvSpPr/>
                    <wps:spPr>
                      <a:xfrm>
                        <a:off x="0" y="0"/>
                        <a:ext cx="359410" cy="106914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F4DF1A" id="Rechthoek 1" o:spid="_x0000_s1026" style="position:absolute;margin-left:-19.9pt;margin-top:0;width:28.3pt;height:841.85pt;z-index:-25165823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QPiQIAAIkFAAAOAAAAZHJzL2Uyb0RvYy54bWysVN9P2zAQfp+0/8Hy+0jStWxUpKgCMU1C&#10;gICJZ9exG2u2z7Pdpt1fv7OTBgZok6b1wfXlfn/+7k7PdkaTrfBBga1pdVRSIiyHRtl1Tb89XH74&#10;TEmIzDZMgxU13YtAzxbv3512bi4m0IJuhCcYxIZ552raxujmRRF4KwwLR+CERaUEb1hE0a+LxrMO&#10;oxtdTMryuOjAN84DFyHg14teSRc5vpSCxxspg4hE1xRri/n0+Vyls1icsvnaM9cqPpTB/qEKw5TF&#10;pGOoCxYZ2Xj1KpRR3EMAGY84mAKkVFzkHrCbqnzRzX3LnMi9IDjBjTCF/xeWX29vPVENvh0llhl8&#10;ojvB29iC+E6qBE/nwhyt7t2tH6SA19TrTnqT/rELssuQ7kdIxS4Sjh8/zk6mFQLPUVWVxyfV9GSW&#10;ohZP7s6H+EWAIelSU49vlqFk26sQe9ODScoWQKvmUmmdhcQTca492TJ8Yca5sDGXjQl+s9Q22VtI&#10;nn3Q9KVI3fX95Fvca5HstL0TEmHBDia5mEzI14lyDS1rRJ9/VuJvaG/0yM3mgMlaYv4xdvWn2H2V&#10;g31yFZnPo3P5d+fRI2cGG0dnoyz4twLoET7Z2x9A6qFJKK2g2SNpPPTTFBy/VPh0VyzEW+ZxfPC9&#10;cSXEGzykhq6mMNwoacH/fOt7skdWo5aSDsexpuHHhnlBif5qke9InGma3yxMZ58mKPjnmtVzjd2Y&#10;c0A+IKexunxN9lEfrtKDecTNsUxZUcUsx9w15dEfhPPYrwncPVwsl9kMZ9axeGXvHU/BE6qJmg+7&#10;R+bdwN+I1L+Gw+iy+Qsa97bJ08JyE0GqzPEnXAe8cd4zcYbdlBbKczlbPW3QxS8AAAD//wMAUEsD&#10;BBQABgAIAAAAIQDWAQFz3gAAAAgBAAAPAAAAZHJzL2Rvd25yZXYueG1sTI9BT8JAEIXvJv6HzZB4&#10;gy2iVGu3pJF4kIQDUBOPS3dsG7uztbtA/fcMXuQ0eXkvb76XLgbbiiP2vnGkYDqJQCCVzjRUKSh2&#10;b+MnED5oMrp1hAp+0cMiu71JdWLciTZ43IZKcAn5RCuoQ+gSKX1Zo9V+4jok9r5cb3Vg2VfS9PrE&#10;5baV91E0l1Y3xB9q3eFrjeX39mAVPOZ+85GvV/n7w+dyue6KOCp+YqXuRkP+AiLgEP7DcMFndMiY&#10;ae8OZLxoFYxnz4weFPCiiz1ntf+7sxhklsrrAdkZAAD//wMAUEsBAi0AFAAGAAgAAAAhALaDOJL+&#10;AAAA4QEAABMAAAAAAAAAAAAAAAAAAAAAAFtDb250ZW50X1R5cGVzXS54bWxQSwECLQAUAAYACAAA&#10;ACEAOP0h/9YAAACUAQAACwAAAAAAAAAAAAAAAAAvAQAAX3JlbHMvLnJlbHNQSwECLQAUAAYACAAA&#10;ACEAIxXED4kCAACJBQAADgAAAAAAAAAAAAAAAAAuAgAAZHJzL2Uyb0RvYy54bWxQSwECLQAUAAYA&#10;CAAAACEA1gEBc94AAAAIAQAADwAAAAAAAAAAAAAAAADjBAAAZHJzL2Rvd25yZXYueG1sUEsFBgAA&#10;AAAEAAQA8wAAAO4FAAAAAA==&#10;" fillcolor="#feec00 [3204]" stroked="f" strokeweight="1.5pt">
              <w10:wrap anchorx="page" anchory="page"/>
              <w10:anchorlock/>
            </v:rect>
          </w:pict>
        </mc:Fallback>
      </mc:AlternateContent>
    </w:r>
    <w:r>
      <w:rPr>
        <w:noProof/>
        <w:lang w:val="nl-NL" w:eastAsia="nl-NL"/>
      </w:rPr>
      <w:drawing>
        <wp:anchor distT="0" distB="0" distL="180340" distR="215900" simplePos="0" relativeHeight="251658240" behindDoc="0" locked="1" layoutInCell="0" allowOverlap="0" wp14:anchorId="58021A54" wp14:editId="63B8FD1A">
          <wp:simplePos x="0" y="0"/>
          <wp:positionH relativeFrom="margin">
            <wp:align>right</wp:align>
          </wp:positionH>
          <wp:positionV relativeFrom="topMargin">
            <wp:align>center</wp:align>
          </wp:positionV>
          <wp:extent cx="1316608" cy="360000"/>
          <wp:effectExtent l="0" t="0" r="0" b="2540"/>
          <wp:wrapTopAndBottom/>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ctielogo_01a.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6608"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F59DD" w14:textId="77777777" w:rsidR="008602AF" w:rsidRDefault="008602AF" w:rsidP="00AD798D">
    <w:pPr>
      <w:pStyle w:val="Koptekst"/>
    </w:pPr>
    <w:r>
      <w:rPr>
        <w:noProof/>
        <w:lang w:val="nl-NL" w:eastAsia="nl-NL"/>
      </w:rPr>
      <w:drawing>
        <wp:anchor distT="0" distB="0" distL="180340" distR="180340" simplePos="0" relativeHeight="251658241" behindDoc="0" locked="1" layoutInCell="0" allowOverlap="0" wp14:anchorId="4AD2C090" wp14:editId="1232204B">
          <wp:simplePos x="0" y="0"/>
          <wp:positionH relativeFrom="page">
            <wp:align>center</wp:align>
          </wp:positionH>
          <wp:positionV relativeFrom="topMargin">
            <wp:align>center</wp:align>
          </wp:positionV>
          <wp:extent cx="1972310" cy="539750"/>
          <wp:effectExtent l="0" t="0" r="0" b="0"/>
          <wp:wrapSquare wrapText="bothSides"/>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ctielogo_01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2373" cy="540000"/>
                  </a:xfrm>
                  <a:prstGeom prst="rect">
                    <a:avLst/>
                  </a:prstGeom>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83E0F"/>
    <w:multiLevelType w:val="multilevel"/>
    <w:tmpl w:val="F4D05E2C"/>
    <w:lvl w:ilvl="0">
      <w:start w:val="2"/>
      <w:numFmt w:val="decimal"/>
      <w:pStyle w:val="Nummering"/>
      <w:lvlText w:val="%1."/>
      <w:lvlJc w:val="left"/>
      <w:pPr>
        <w:ind w:left="425" w:hanging="425"/>
      </w:pPr>
      <w:rPr>
        <w:rFonts w:hint="default"/>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92" w:hanging="567"/>
      </w:pPr>
      <w:rPr>
        <w:rFonts w:hint="default"/>
        <w:b w:val="0"/>
        <w:i w:val="0"/>
        <w:caps w:val="0"/>
        <w:strike w:val="0"/>
        <w:dstrike w:val="0"/>
        <w:vanish w:val="0"/>
        <w:color w:val="auto"/>
        <w:kern w:val="0"/>
        <w:sz w:val="18"/>
        <w:szCs w:val="24"/>
        <w:u w:val="none"/>
        <w:vertAlign w:val="baseline"/>
        <w14:cntxtAlts w14:val="0"/>
      </w:rPr>
    </w:lvl>
    <w:lvl w:ilvl="2">
      <w:start w:val="1"/>
      <w:numFmt w:val="upperLetter"/>
      <w:lvlText w:val="%3."/>
      <w:lvlJc w:val="left"/>
      <w:pPr>
        <w:ind w:left="1418" w:hanging="426"/>
      </w:pPr>
      <w:rPr>
        <w:rFonts w:hint="default"/>
        <w:b w:val="0"/>
        <w:i w:val="0"/>
        <w:caps w:val="0"/>
        <w:strike w:val="0"/>
        <w:dstrike w:val="0"/>
        <w:vanish w:val="0"/>
        <w:color w:val="auto"/>
        <w:kern w:val="0"/>
        <w:sz w:val="22"/>
        <w:szCs w:val="24"/>
        <w:u w:val="none"/>
        <w:vertAlign w:val="baseline"/>
        <w14:cntxtAlts w14:val="0"/>
      </w:rPr>
    </w:lvl>
    <w:lvl w:ilvl="3">
      <w:start w:val="1"/>
      <w:numFmt w:val="lowerLetter"/>
      <w:lvlText w:val="%4."/>
      <w:lvlJc w:val="left"/>
      <w:pPr>
        <w:ind w:left="1843" w:hanging="425"/>
      </w:pPr>
      <w:rPr>
        <w:rFonts w:hint="default"/>
        <w:b w:val="0"/>
        <w:i w:val="0"/>
        <w:caps w:val="0"/>
        <w:strike w:val="0"/>
        <w:dstrike w:val="0"/>
        <w:vanish w:val="0"/>
        <w:color w:val="auto"/>
        <w:kern w:val="0"/>
        <w:sz w:val="22"/>
        <w:szCs w:val="24"/>
        <w:u w:val="none"/>
        <w:vertAlign w:val="baseline"/>
        <w14:cntxtAlts w14:val="0"/>
      </w:rPr>
    </w:lvl>
    <w:lvl w:ilvl="4">
      <w:start w:val="1"/>
      <w:numFmt w:val="upperRoman"/>
      <w:lvlText w:val="%5."/>
      <w:lvlJc w:val="left"/>
      <w:pPr>
        <w:ind w:left="2268" w:hanging="425"/>
      </w:pPr>
      <w:rPr>
        <w:rFonts w:hint="default"/>
        <w:b w:val="0"/>
        <w:i w:val="0"/>
        <w:sz w:val="22"/>
        <w:szCs w:val="24"/>
      </w:rPr>
    </w:lvl>
    <w:lvl w:ilvl="5">
      <w:start w:val="1"/>
      <w:numFmt w:val="lowerRoman"/>
      <w:lvlText w:val="%6."/>
      <w:lvlJc w:val="left"/>
      <w:pPr>
        <w:ind w:left="2693" w:hanging="425"/>
      </w:pPr>
      <w:rPr>
        <w:rFonts w:hint="default"/>
        <w:b w:val="0"/>
        <w:i w:val="0"/>
        <w:sz w:val="22"/>
        <w:szCs w:val="20"/>
      </w:rPr>
    </w:lvl>
    <w:lvl w:ilvl="6">
      <w:start w:val="1"/>
      <w:numFmt w:val="none"/>
      <w:lvlText w:val="%7"/>
      <w:lvlJc w:val="left"/>
      <w:pPr>
        <w:ind w:left="0" w:firstLine="0"/>
      </w:pPr>
      <w:rPr>
        <w:rFonts w:hint="default"/>
      </w:rPr>
    </w:lvl>
    <w:lvl w:ilvl="7">
      <w:start w:val="1"/>
      <w:numFmt w:val="none"/>
      <w:lvlText w:val=""/>
      <w:lvlJc w:val="left"/>
      <w:pPr>
        <w:ind w:left="0" w:firstLine="0"/>
      </w:pPr>
      <w:rPr>
        <w:rFonts w:ascii="Garamond" w:hAnsi="Garamond" w:hint="default"/>
        <w:b w:val="0"/>
        <w:i w:val="0"/>
        <w:sz w:val="20"/>
        <w:szCs w:val="20"/>
      </w:rPr>
    </w:lvl>
    <w:lvl w:ilvl="8">
      <w:start w:val="1"/>
      <w:numFmt w:val="none"/>
      <w:lvlText w:val=""/>
      <w:lvlJc w:val="left"/>
      <w:pPr>
        <w:ind w:left="0" w:firstLine="0"/>
      </w:pPr>
      <w:rPr>
        <w:rFonts w:hint="default"/>
      </w:rPr>
    </w:lvl>
  </w:abstractNum>
  <w:abstractNum w:abstractNumId="1">
    <w:nsid w:val="097C118F"/>
    <w:multiLevelType w:val="hybridMultilevel"/>
    <w:tmpl w:val="100E53EE"/>
    <w:lvl w:ilvl="0" w:tplc="4344E05A">
      <w:start w:val="1"/>
      <w:numFmt w:val="bullet"/>
      <w:pStyle w:val="Regelgeving"/>
      <w:lvlText w:val=""/>
      <w:lvlJc w:val="left"/>
      <w:pPr>
        <w:ind w:left="786"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A715456"/>
    <w:multiLevelType w:val="hybridMultilevel"/>
    <w:tmpl w:val="6A6C3970"/>
    <w:lvl w:ilvl="0" w:tplc="4AF2852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DE832B8"/>
    <w:multiLevelType w:val="multilevel"/>
    <w:tmpl w:val="F8F0D0EC"/>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4">
    <w:nsid w:val="13D47151"/>
    <w:multiLevelType w:val="hybridMultilevel"/>
    <w:tmpl w:val="9DC87482"/>
    <w:lvl w:ilvl="0" w:tplc="78FCCF26">
      <w:start w:val="1"/>
      <w:numFmt w:val="bullet"/>
      <w:lvlText w:val=""/>
      <w:lvlJc w:val="left"/>
      <w:pPr>
        <w:ind w:left="720" w:hanging="360"/>
      </w:pPr>
      <w:rPr>
        <w:rFonts w:ascii="Wingdings" w:hAnsi="Wingdings"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3867B70"/>
    <w:multiLevelType w:val="hybridMultilevel"/>
    <w:tmpl w:val="AC6E6A4A"/>
    <w:lvl w:ilvl="0" w:tplc="7AA8F9F4">
      <w:start w:val="1"/>
      <w:numFmt w:val="decimal"/>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6">
    <w:nsid w:val="266D4D11"/>
    <w:multiLevelType w:val="hybridMultilevel"/>
    <w:tmpl w:val="7EEA67F0"/>
    <w:lvl w:ilvl="0" w:tplc="78FCCF26">
      <w:start w:val="1"/>
      <w:numFmt w:val="bullet"/>
      <w:lvlText w:val=""/>
      <w:lvlJc w:val="left"/>
      <w:pPr>
        <w:ind w:left="720" w:hanging="360"/>
      </w:pPr>
      <w:rPr>
        <w:rFonts w:ascii="Wingdings" w:hAnsi="Wingdings"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A0F3446"/>
    <w:multiLevelType w:val="hybridMultilevel"/>
    <w:tmpl w:val="CA3286C8"/>
    <w:lvl w:ilvl="0" w:tplc="0CD8204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645340D"/>
    <w:multiLevelType w:val="multilevel"/>
    <w:tmpl w:val="0A246E3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D283637"/>
    <w:multiLevelType w:val="hybridMultilevel"/>
    <w:tmpl w:val="709A46DE"/>
    <w:lvl w:ilvl="0" w:tplc="529C9BA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5A6F0E1A"/>
    <w:multiLevelType w:val="hybridMultilevel"/>
    <w:tmpl w:val="2F3209BE"/>
    <w:lvl w:ilvl="0" w:tplc="78FCCF26">
      <w:start w:val="1"/>
      <w:numFmt w:val="bullet"/>
      <w:lvlText w:val=""/>
      <w:lvlJc w:val="left"/>
      <w:pPr>
        <w:ind w:left="720" w:hanging="360"/>
      </w:pPr>
      <w:rPr>
        <w:rFonts w:ascii="Wingdings" w:hAnsi="Wingdings"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C161079"/>
    <w:multiLevelType w:val="hybridMultilevel"/>
    <w:tmpl w:val="4F9682B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5F7B359A"/>
    <w:multiLevelType w:val="hybridMultilevel"/>
    <w:tmpl w:val="41A00ADE"/>
    <w:lvl w:ilvl="0" w:tplc="78FCCF26">
      <w:start w:val="1"/>
      <w:numFmt w:val="bullet"/>
      <w:lvlText w:val=""/>
      <w:lvlJc w:val="left"/>
      <w:pPr>
        <w:ind w:left="720" w:hanging="360"/>
      </w:pPr>
      <w:rPr>
        <w:rFonts w:ascii="Wingdings" w:hAnsi="Wingdings"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CEE2ADD"/>
    <w:multiLevelType w:val="multilevel"/>
    <w:tmpl w:val="5CAEFD7A"/>
    <w:lvl w:ilvl="0">
      <w:start w:val="1"/>
      <w:numFmt w:val="bullet"/>
      <w:pStyle w:val="Opsomming"/>
      <w:lvlText w:val=""/>
      <w:lvlJc w:val="left"/>
      <w:pPr>
        <w:ind w:left="284" w:hanging="284"/>
      </w:pPr>
      <w:rPr>
        <w:rFonts w:ascii="Wingdings 2" w:hAnsi="Wingdings 2" w:hint="default"/>
      </w:rPr>
    </w:lvl>
    <w:lvl w:ilvl="1">
      <w:start w:val="1"/>
      <w:numFmt w:val="bullet"/>
      <w:lvlText w:val=""/>
      <w:lvlJc w:val="left"/>
      <w:pPr>
        <w:ind w:left="567" w:hanging="283"/>
      </w:pPr>
      <w:rPr>
        <w:rFonts w:ascii="Wingdings 2" w:hAnsi="Wingdings 2" w:cs="Times New Roman" w:hint="default"/>
      </w:rPr>
    </w:lvl>
    <w:lvl w:ilvl="2">
      <w:start w:val="1"/>
      <w:numFmt w:val="bullet"/>
      <w:lvlText w:val=""/>
      <w:lvlJc w:val="left"/>
      <w:pPr>
        <w:ind w:left="851" w:hanging="284"/>
      </w:pPr>
      <w:rPr>
        <w:rFonts w:ascii="Wingdings 2" w:hAnsi="Wingdings 2" w:cs="Times New Roman" w:hint="default"/>
      </w:rPr>
    </w:lvl>
    <w:lvl w:ilvl="3">
      <w:start w:val="1"/>
      <w:numFmt w:val="bullet"/>
      <w:lvlText w:val="–"/>
      <w:lvlJc w:val="left"/>
      <w:pPr>
        <w:ind w:left="1134" w:hanging="283"/>
      </w:pPr>
      <w:rPr>
        <w:rFonts w:ascii="Calibri" w:hAnsi="Calibri" w:cs="Times New Roman" w:hint="default"/>
      </w:rPr>
    </w:lvl>
    <w:lvl w:ilvl="4">
      <w:start w:val="1"/>
      <w:numFmt w:val="bullet"/>
      <w:lvlText w:val=""/>
      <w:lvlJc w:val="left"/>
      <w:pPr>
        <w:ind w:left="1418" w:hanging="284"/>
      </w:pPr>
      <w:rPr>
        <w:rFonts w:ascii="Wingdings 2" w:hAnsi="Wingdings 2" w:cs="Times New Roman" w:hint="default"/>
      </w:rPr>
    </w:lvl>
    <w:lvl w:ilvl="5">
      <w:start w:val="7"/>
      <w:numFmt w:val="bullet"/>
      <w:lvlText w:val=""/>
      <w:lvlJc w:val="left"/>
      <w:pPr>
        <w:ind w:left="1701" w:hanging="283"/>
      </w:pPr>
      <w:rPr>
        <w:rFonts w:ascii="Wingdings 2" w:hAnsi="Wingdings 2" w:cs="Times New Roman" w:hint="default"/>
      </w:rPr>
    </w:lvl>
    <w:lvl w:ilvl="6">
      <w:start w:val="1"/>
      <w:numFmt w:val="bullet"/>
      <w:lvlText w:val=""/>
      <w:lvlJc w:val="left"/>
      <w:pPr>
        <w:ind w:left="1985" w:hanging="284"/>
      </w:pPr>
      <w:rPr>
        <w:rFonts w:ascii="Wingdings 2" w:hAnsi="Wingdings 2" w:cs="Calibri" w:hint="default"/>
      </w:rPr>
    </w:lvl>
    <w:lvl w:ilvl="7">
      <w:start w:val="1"/>
      <w:numFmt w:val="bullet"/>
      <w:lvlText w:val="‐"/>
      <w:lvlJc w:val="left"/>
      <w:pPr>
        <w:ind w:left="2268" w:hanging="283"/>
      </w:pPr>
      <w:rPr>
        <w:rFonts w:ascii="Calibri" w:hAnsi="Calibri" w:cs="Calibri" w:hint="default"/>
      </w:rPr>
    </w:lvl>
    <w:lvl w:ilvl="8">
      <w:start w:val="1"/>
      <w:numFmt w:val="bullet"/>
      <w:lvlText w:val="∙"/>
      <w:lvlJc w:val="left"/>
      <w:pPr>
        <w:ind w:left="2552" w:hanging="284"/>
      </w:pPr>
      <w:rPr>
        <w:rFonts w:ascii="Calibri" w:hAnsi="Calibri" w:cs="Calibri" w:hint="default"/>
      </w:rPr>
    </w:lvl>
  </w:abstractNum>
  <w:abstractNum w:abstractNumId="14">
    <w:nsid w:val="71DD68E8"/>
    <w:multiLevelType w:val="hybridMultilevel"/>
    <w:tmpl w:val="AF9460E4"/>
    <w:lvl w:ilvl="0" w:tplc="78FCCF26">
      <w:start w:val="1"/>
      <w:numFmt w:val="bullet"/>
      <w:lvlText w:val=""/>
      <w:lvlJc w:val="left"/>
      <w:pPr>
        <w:ind w:left="720" w:hanging="360"/>
      </w:pPr>
      <w:rPr>
        <w:rFonts w:ascii="Wingdings" w:hAnsi="Wingdings"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7164A98"/>
    <w:multiLevelType w:val="hybridMultilevel"/>
    <w:tmpl w:val="ED882F62"/>
    <w:lvl w:ilvl="0" w:tplc="B82C1E3A">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3"/>
  </w:num>
  <w:num w:numId="5">
    <w:abstractNumId w:val="3"/>
  </w:num>
  <w:num w:numId="6">
    <w:abstractNumId w:val="1"/>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14"/>
  </w:num>
  <w:num w:numId="14">
    <w:abstractNumId w:val="6"/>
  </w:num>
  <w:num w:numId="15">
    <w:abstractNumId w:val="4"/>
  </w:num>
  <w:num w:numId="16">
    <w:abstractNumId w:val="15"/>
  </w:num>
  <w:num w:numId="17">
    <w:abstractNumId w:val="11"/>
  </w:num>
  <w:num w:numId="18">
    <w:abstractNumId w:val="9"/>
  </w:num>
  <w:num w:numId="19">
    <w:abstractNumId w:val="5"/>
  </w:num>
  <w:num w:numId="20">
    <w:abstractNumId w:val="0"/>
  </w:num>
  <w:num w:numId="21">
    <w:abstractNumId w:val="9"/>
  </w:num>
  <w:num w:numId="22">
    <w:abstractNumId w:val="7"/>
  </w:num>
  <w:num w:numId="23">
    <w:abstractNumId w:val="0"/>
  </w:num>
  <w:num w:numId="2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
  </w:num>
  <w:num w:numId="28">
    <w:abstractNumId w:val="0"/>
  </w:num>
  <w:num w:numId="29">
    <w:abstractNumId w:val="1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8"/>
  </w:num>
  <w:num w:numId="3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7C"/>
    <w:rsid w:val="00001217"/>
    <w:rsid w:val="00003043"/>
    <w:rsid w:val="00003AB1"/>
    <w:rsid w:val="0000521B"/>
    <w:rsid w:val="00006AD2"/>
    <w:rsid w:val="00007CBC"/>
    <w:rsid w:val="000108CF"/>
    <w:rsid w:val="00017BF4"/>
    <w:rsid w:val="00022120"/>
    <w:rsid w:val="000232CE"/>
    <w:rsid w:val="00023925"/>
    <w:rsid w:val="000248CC"/>
    <w:rsid w:val="00026030"/>
    <w:rsid w:val="00026C03"/>
    <w:rsid w:val="00030533"/>
    <w:rsid w:val="00033717"/>
    <w:rsid w:val="00035151"/>
    <w:rsid w:val="00037569"/>
    <w:rsid w:val="00040FBE"/>
    <w:rsid w:val="00044216"/>
    <w:rsid w:val="00045720"/>
    <w:rsid w:val="00047B3C"/>
    <w:rsid w:val="00050A75"/>
    <w:rsid w:val="00050FBD"/>
    <w:rsid w:val="000538C5"/>
    <w:rsid w:val="00054687"/>
    <w:rsid w:val="00055F9E"/>
    <w:rsid w:val="00060E16"/>
    <w:rsid w:val="0006118C"/>
    <w:rsid w:val="000660B9"/>
    <w:rsid w:val="000663FF"/>
    <w:rsid w:val="000666A0"/>
    <w:rsid w:val="00070F51"/>
    <w:rsid w:val="00074097"/>
    <w:rsid w:val="000743AC"/>
    <w:rsid w:val="000814F1"/>
    <w:rsid w:val="0009682E"/>
    <w:rsid w:val="000A0AC1"/>
    <w:rsid w:val="000A18AB"/>
    <w:rsid w:val="000A3E07"/>
    <w:rsid w:val="000A5B27"/>
    <w:rsid w:val="000A5BDD"/>
    <w:rsid w:val="000A7D7D"/>
    <w:rsid w:val="000B1392"/>
    <w:rsid w:val="000B1ED8"/>
    <w:rsid w:val="000C0A27"/>
    <w:rsid w:val="000D49D9"/>
    <w:rsid w:val="000D6D74"/>
    <w:rsid w:val="000D79AD"/>
    <w:rsid w:val="000E07AD"/>
    <w:rsid w:val="000E0D49"/>
    <w:rsid w:val="000E2C4D"/>
    <w:rsid w:val="000E4C02"/>
    <w:rsid w:val="000E4F92"/>
    <w:rsid w:val="000F05FB"/>
    <w:rsid w:val="000F11EB"/>
    <w:rsid w:val="000F147B"/>
    <w:rsid w:val="000F295E"/>
    <w:rsid w:val="000F44C9"/>
    <w:rsid w:val="000F7EF6"/>
    <w:rsid w:val="0010464D"/>
    <w:rsid w:val="0011308B"/>
    <w:rsid w:val="00114860"/>
    <w:rsid w:val="0011493D"/>
    <w:rsid w:val="001155F5"/>
    <w:rsid w:val="00120386"/>
    <w:rsid w:val="00120E9D"/>
    <w:rsid w:val="0012397A"/>
    <w:rsid w:val="00124531"/>
    <w:rsid w:val="00125C6B"/>
    <w:rsid w:val="0013075C"/>
    <w:rsid w:val="00131525"/>
    <w:rsid w:val="0013389F"/>
    <w:rsid w:val="00134F80"/>
    <w:rsid w:val="00135DB3"/>
    <w:rsid w:val="00135DFB"/>
    <w:rsid w:val="00140113"/>
    <w:rsid w:val="001407A3"/>
    <w:rsid w:val="00142B16"/>
    <w:rsid w:val="001448C0"/>
    <w:rsid w:val="00145085"/>
    <w:rsid w:val="00147840"/>
    <w:rsid w:val="00151BAF"/>
    <w:rsid w:val="00155042"/>
    <w:rsid w:val="00163466"/>
    <w:rsid w:val="00172C0A"/>
    <w:rsid w:val="001768F9"/>
    <w:rsid w:val="001867DF"/>
    <w:rsid w:val="00187795"/>
    <w:rsid w:val="001940C5"/>
    <w:rsid w:val="00197A69"/>
    <w:rsid w:val="001B2002"/>
    <w:rsid w:val="001B4916"/>
    <w:rsid w:val="001B732F"/>
    <w:rsid w:val="001C4A80"/>
    <w:rsid w:val="001C64B7"/>
    <w:rsid w:val="001C7DA6"/>
    <w:rsid w:val="001C7E5E"/>
    <w:rsid w:val="001D1814"/>
    <w:rsid w:val="001D3E4D"/>
    <w:rsid w:val="001D7898"/>
    <w:rsid w:val="001E05D3"/>
    <w:rsid w:val="001E26C1"/>
    <w:rsid w:val="001F0B38"/>
    <w:rsid w:val="001F43B7"/>
    <w:rsid w:val="001F630A"/>
    <w:rsid w:val="00201062"/>
    <w:rsid w:val="0020160F"/>
    <w:rsid w:val="00204E2E"/>
    <w:rsid w:val="00205BC2"/>
    <w:rsid w:val="00210A33"/>
    <w:rsid w:val="00210D49"/>
    <w:rsid w:val="002118B1"/>
    <w:rsid w:val="00211956"/>
    <w:rsid w:val="00212D2C"/>
    <w:rsid w:val="002162E1"/>
    <w:rsid w:val="00217D38"/>
    <w:rsid w:val="0022137D"/>
    <w:rsid w:val="00225BEC"/>
    <w:rsid w:val="00231120"/>
    <w:rsid w:val="002339E2"/>
    <w:rsid w:val="00234307"/>
    <w:rsid w:val="0023467D"/>
    <w:rsid w:val="002424BB"/>
    <w:rsid w:val="002466AA"/>
    <w:rsid w:val="002516C5"/>
    <w:rsid w:val="00251FED"/>
    <w:rsid w:val="00257225"/>
    <w:rsid w:val="00260B69"/>
    <w:rsid w:val="00261233"/>
    <w:rsid w:val="00261F27"/>
    <w:rsid w:val="00264AAB"/>
    <w:rsid w:val="002654CD"/>
    <w:rsid w:val="002661B0"/>
    <w:rsid w:val="00271129"/>
    <w:rsid w:val="00275DDF"/>
    <w:rsid w:val="00276547"/>
    <w:rsid w:val="002773D2"/>
    <w:rsid w:val="002777B3"/>
    <w:rsid w:val="00280679"/>
    <w:rsid w:val="002876F6"/>
    <w:rsid w:val="00291AC0"/>
    <w:rsid w:val="00293B0D"/>
    <w:rsid w:val="002A44F1"/>
    <w:rsid w:val="002A499A"/>
    <w:rsid w:val="002A4CE5"/>
    <w:rsid w:val="002A4FB6"/>
    <w:rsid w:val="002A6F4C"/>
    <w:rsid w:val="002B34BC"/>
    <w:rsid w:val="002C0578"/>
    <w:rsid w:val="002C3929"/>
    <w:rsid w:val="002C6F3A"/>
    <w:rsid w:val="002D1DE1"/>
    <w:rsid w:val="002D76E5"/>
    <w:rsid w:val="002E095D"/>
    <w:rsid w:val="002E2618"/>
    <w:rsid w:val="002E4726"/>
    <w:rsid w:val="002E4FC7"/>
    <w:rsid w:val="002E602F"/>
    <w:rsid w:val="002F0F63"/>
    <w:rsid w:val="002F2ED9"/>
    <w:rsid w:val="002F3285"/>
    <w:rsid w:val="002F3A39"/>
    <w:rsid w:val="002F6716"/>
    <w:rsid w:val="003002D7"/>
    <w:rsid w:val="00300F41"/>
    <w:rsid w:val="0030142F"/>
    <w:rsid w:val="00303861"/>
    <w:rsid w:val="0030475E"/>
    <w:rsid w:val="0030582D"/>
    <w:rsid w:val="00305D93"/>
    <w:rsid w:val="0030617B"/>
    <w:rsid w:val="00313B13"/>
    <w:rsid w:val="00333EC6"/>
    <w:rsid w:val="003347FF"/>
    <w:rsid w:val="003376FE"/>
    <w:rsid w:val="0034090D"/>
    <w:rsid w:val="003424FC"/>
    <w:rsid w:val="00343216"/>
    <w:rsid w:val="00344ABE"/>
    <w:rsid w:val="0034537D"/>
    <w:rsid w:val="003462A2"/>
    <w:rsid w:val="003469D5"/>
    <w:rsid w:val="00350832"/>
    <w:rsid w:val="00350A3A"/>
    <w:rsid w:val="00351118"/>
    <w:rsid w:val="00351C72"/>
    <w:rsid w:val="00363421"/>
    <w:rsid w:val="003660E8"/>
    <w:rsid w:val="00366FBF"/>
    <w:rsid w:val="0037279B"/>
    <w:rsid w:val="0037412F"/>
    <w:rsid w:val="00374727"/>
    <w:rsid w:val="00381B9E"/>
    <w:rsid w:val="00382602"/>
    <w:rsid w:val="0038325C"/>
    <w:rsid w:val="003845CF"/>
    <w:rsid w:val="00385B52"/>
    <w:rsid w:val="0038799E"/>
    <w:rsid w:val="00390B81"/>
    <w:rsid w:val="00391510"/>
    <w:rsid w:val="00391E7A"/>
    <w:rsid w:val="003979EF"/>
    <w:rsid w:val="003A0034"/>
    <w:rsid w:val="003A04E0"/>
    <w:rsid w:val="003A2E66"/>
    <w:rsid w:val="003A441D"/>
    <w:rsid w:val="003A7732"/>
    <w:rsid w:val="003B0208"/>
    <w:rsid w:val="003B03F1"/>
    <w:rsid w:val="003B5DE7"/>
    <w:rsid w:val="003B68FE"/>
    <w:rsid w:val="003B6EFE"/>
    <w:rsid w:val="003B75DC"/>
    <w:rsid w:val="003C051B"/>
    <w:rsid w:val="003D0255"/>
    <w:rsid w:val="003D0BE7"/>
    <w:rsid w:val="003D0C51"/>
    <w:rsid w:val="003D3D05"/>
    <w:rsid w:val="003D3E72"/>
    <w:rsid w:val="003D697F"/>
    <w:rsid w:val="003F1936"/>
    <w:rsid w:val="003F223D"/>
    <w:rsid w:val="003F43B6"/>
    <w:rsid w:val="003F5641"/>
    <w:rsid w:val="003F78A4"/>
    <w:rsid w:val="003F7913"/>
    <w:rsid w:val="0040086B"/>
    <w:rsid w:val="00400B8F"/>
    <w:rsid w:val="004031E4"/>
    <w:rsid w:val="00403AB5"/>
    <w:rsid w:val="00405F54"/>
    <w:rsid w:val="00407B97"/>
    <w:rsid w:val="004111E3"/>
    <w:rsid w:val="00411C7D"/>
    <w:rsid w:val="004120CA"/>
    <w:rsid w:val="00414977"/>
    <w:rsid w:val="004157B0"/>
    <w:rsid w:val="004166A5"/>
    <w:rsid w:val="004262C4"/>
    <w:rsid w:val="00432903"/>
    <w:rsid w:val="00433D87"/>
    <w:rsid w:val="004473D2"/>
    <w:rsid w:val="00454B51"/>
    <w:rsid w:val="004563E5"/>
    <w:rsid w:val="00456C64"/>
    <w:rsid w:val="00457045"/>
    <w:rsid w:val="00457FB1"/>
    <w:rsid w:val="00460DB7"/>
    <w:rsid w:val="004626B9"/>
    <w:rsid w:val="0046472F"/>
    <w:rsid w:val="00465BEC"/>
    <w:rsid w:val="004668F4"/>
    <w:rsid w:val="00470C8B"/>
    <w:rsid w:val="004723C5"/>
    <w:rsid w:val="00474093"/>
    <w:rsid w:val="00476240"/>
    <w:rsid w:val="00481894"/>
    <w:rsid w:val="00490028"/>
    <w:rsid w:val="00493A39"/>
    <w:rsid w:val="00495F1E"/>
    <w:rsid w:val="004A6EB7"/>
    <w:rsid w:val="004B3531"/>
    <w:rsid w:val="004B384F"/>
    <w:rsid w:val="004B6C54"/>
    <w:rsid w:val="004B71B3"/>
    <w:rsid w:val="004B768F"/>
    <w:rsid w:val="004C09E6"/>
    <w:rsid w:val="004C2EFD"/>
    <w:rsid w:val="004C301D"/>
    <w:rsid w:val="004C6437"/>
    <w:rsid w:val="004D0B62"/>
    <w:rsid w:val="004D12AD"/>
    <w:rsid w:val="004E06A8"/>
    <w:rsid w:val="004E1704"/>
    <w:rsid w:val="004E240F"/>
    <w:rsid w:val="004E583A"/>
    <w:rsid w:val="004E6E67"/>
    <w:rsid w:val="004F1A76"/>
    <w:rsid w:val="004F47D1"/>
    <w:rsid w:val="004F6E59"/>
    <w:rsid w:val="004F73F5"/>
    <w:rsid w:val="00502612"/>
    <w:rsid w:val="00503754"/>
    <w:rsid w:val="00510839"/>
    <w:rsid w:val="00512BF7"/>
    <w:rsid w:val="0051781A"/>
    <w:rsid w:val="0052119E"/>
    <w:rsid w:val="005272E0"/>
    <w:rsid w:val="00527367"/>
    <w:rsid w:val="00530049"/>
    <w:rsid w:val="00531675"/>
    <w:rsid w:val="00533E1F"/>
    <w:rsid w:val="00534B20"/>
    <w:rsid w:val="00535CB6"/>
    <w:rsid w:val="0054137E"/>
    <w:rsid w:val="00551FED"/>
    <w:rsid w:val="005558AD"/>
    <w:rsid w:val="00557E97"/>
    <w:rsid w:val="0056265A"/>
    <w:rsid w:val="00565B75"/>
    <w:rsid w:val="00566F8F"/>
    <w:rsid w:val="00571EA0"/>
    <w:rsid w:val="00572BD2"/>
    <w:rsid w:val="005743D2"/>
    <w:rsid w:val="00575A1A"/>
    <w:rsid w:val="00590B4B"/>
    <w:rsid w:val="0059428B"/>
    <w:rsid w:val="005A04EE"/>
    <w:rsid w:val="005A0D1E"/>
    <w:rsid w:val="005A3757"/>
    <w:rsid w:val="005A49A8"/>
    <w:rsid w:val="005B00EF"/>
    <w:rsid w:val="005B01A7"/>
    <w:rsid w:val="005B1A47"/>
    <w:rsid w:val="005B270C"/>
    <w:rsid w:val="005B37E2"/>
    <w:rsid w:val="005B4E00"/>
    <w:rsid w:val="005B4FE7"/>
    <w:rsid w:val="005C2703"/>
    <w:rsid w:val="005C58D4"/>
    <w:rsid w:val="005E2B33"/>
    <w:rsid w:val="005E39A2"/>
    <w:rsid w:val="005E4B7A"/>
    <w:rsid w:val="005E75C1"/>
    <w:rsid w:val="005F294A"/>
    <w:rsid w:val="005F2B48"/>
    <w:rsid w:val="005F2C72"/>
    <w:rsid w:val="005F38C5"/>
    <w:rsid w:val="005F3B99"/>
    <w:rsid w:val="005F6D77"/>
    <w:rsid w:val="00602F96"/>
    <w:rsid w:val="00603417"/>
    <w:rsid w:val="00612052"/>
    <w:rsid w:val="00615780"/>
    <w:rsid w:val="00615CF8"/>
    <w:rsid w:val="00624591"/>
    <w:rsid w:val="00626E76"/>
    <w:rsid w:val="006317E6"/>
    <w:rsid w:val="006333CF"/>
    <w:rsid w:val="00636DCA"/>
    <w:rsid w:val="00643AD3"/>
    <w:rsid w:val="0064615A"/>
    <w:rsid w:val="00651BBA"/>
    <w:rsid w:val="006530E7"/>
    <w:rsid w:val="00653296"/>
    <w:rsid w:val="0065387C"/>
    <w:rsid w:val="00666029"/>
    <w:rsid w:val="00666DF6"/>
    <w:rsid w:val="00670F52"/>
    <w:rsid w:val="006722D2"/>
    <w:rsid w:val="006828AC"/>
    <w:rsid w:val="00683907"/>
    <w:rsid w:val="00685CE7"/>
    <w:rsid w:val="00686DD9"/>
    <w:rsid w:val="0069303A"/>
    <w:rsid w:val="006970C5"/>
    <w:rsid w:val="006A208B"/>
    <w:rsid w:val="006A587B"/>
    <w:rsid w:val="006A785E"/>
    <w:rsid w:val="006B1A6B"/>
    <w:rsid w:val="006B2A10"/>
    <w:rsid w:val="006B719F"/>
    <w:rsid w:val="006C3D33"/>
    <w:rsid w:val="006C6B27"/>
    <w:rsid w:val="006D6D44"/>
    <w:rsid w:val="006E0D8C"/>
    <w:rsid w:val="006E5C99"/>
    <w:rsid w:val="006F05FF"/>
    <w:rsid w:val="006F2D22"/>
    <w:rsid w:val="006F7F1A"/>
    <w:rsid w:val="00701E47"/>
    <w:rsid w:val="00703521"/>
    <w:rsid w:val="007075AD"/>
    <w:rsid w:val="00720E7B"/>
    <w:rsid w:val="00721A76"/>
    <w:rsid w:val="00723382"/>
    <w:rsid w:val="007237A5"/>
    <w:rsid w:val="00725F53"/>
    <w:rsid w:val="00727BE8"/>
    <w:rsid w:val="00734CD0"/>
    <w:rsid w:val="00735C93"/>
    <w:rsid w:val="00735D73"/>
    <w:rsid w:val="00736EF9"/>
    <w:rsid w:val="00744BC3"/>
    <w:rsid w:val="0075041D"/>
    <w:rsid w:val="007504DC"/>
    <w:rsid w:val="007519D6"/>
    <w:rsid w:val="00751C1F"/>
    <w:rsid w:val="00755C77"/>
    <w:rsid w:val="00757357"/>
    <w:rsid w:val="007660DE"/>
    <w:rsid w:val="0076645C"/>
    <w:rsid w:val="0076661B"/>
    <w:rsid w:val="007673C3"/>
    <w:rsid w:val="00772E76"/>
    <w:rsid w:val="0077361B"/>
    <w:rsid w:val="007746DF"/>
    <w:rsid w:val="00774B60"/>
    <w:rsid w:val="007807B8"/>
    <w:rsid w:val="00780F62"/>
    <w:rsid w:val="00782001"/>
    <w:rsid w:val="0078441F"/>
    <w:rsid w:val="00791E32"/>
    <w:rsid w:val="00792B24"/>
    <w:rsid w:val="00797F8F"/>
    <w:rsid w:val="007A3E36"/>
    <w:rsid w:val="007A4891"/>
    <w:rsid w:val="007A5A4F"/>
    <w:rsid w:val="007B1053"/>
    <w:rsid w:val="007B1852"/>
    <w:rsid w:val="007B3FA9"/>
    <w:rsid w:val="007C5A60"/>
    <w:rsid w:val="007C5D1F"/>
    <w:rsid w:val="007C5E6C"/>
    <w:rsid w:val="007C5F41"/>
    <w:rsid w:val="007D36C1"/>
    <w:rsid w:val="007D4ADC"/>
    <w:rsid w:val="007D6316"/>
    <w:rsid w:val="007E373C"/>
    <w:rsid w:val="007E772E"/>
    <w:rsid w:val="007F055E"/>
    <w:rsid w:val="007F196C"/>
    <w:rsid w:val="00800AA6"/>
    <w:rsid w:val="00800E07"/>
    <w:rsid w:val="00800EAD"/>
    <w:rsid w:val="00802BA0"/>
    <w:rsid w:val="0080426D"/>
    <w:rsid w:val="0080548C"/>
    <w:rsid w:val="00806A96"/>
    <w:rsid w:val="00813DD5"/>
    <w:rsid w:val="0081684D"/>
    <w:rsid w:val="00817705"/>
    <w:rsid w:val="008202A6"/>
    <w:rsid w:val="00820ACB"/>
    <w:rsid w:val="00822378"/>
    <w:rsid w:val="00822537"/>
    <w:rsid w:val="00822B04"/>
    <w:rsid w:val="0082746E"/>
    <w:rsid w:val="008305F4"/>
    <w:rsid w:val="008334E7"/>
    <w:rsid w:val="00835844"/>
    <w:rsid w:val="00840563"/>
    <w:rsid w:val="00840EEB"/>
    <w:rsid w:val="00843A20"/>
    <w:rsid w:val="00843C92"/>
    <w:rsid w:val="00844BD5"/>
    <w:rsid w:val="00844E72"/>
    <w:rsid w:val="00845F31"/>
    <w:rsid w:val="008467CD"/>
    <w:rsid w:val="00853BC7"/>
    <w:rsid w:val="008578C1"/>
    <w:rsid w:val="008602AF"/>
    <w:rsid w:val="008618BE"/>
    <w:rsid w:val="00863E47"/>
    <w:rsid w:val="00867487"/>
    <w:rsid w:val="008761E6"/>
    <w:rsid w:val="00880E06"/>
    <w:rsid w:val="008818C7"/>
    <w:rsid w:val="008818D6"/>
    <w:rsid w:val="00882262"/>
    <w:rsid w:val="00884112"/>
    <w:rsid w:val="0088500C"/>
    <w:rsid w:val="00894E89"/>
    <w:rsid w:val="00894FCE"/>
    <w:rsid w:val="008A155C"/>
    <w:rsid w:val="008A57E2"/>
    <w:rsid w:val="008A7FC7"/>
    <w:rsid w:val="008B24F0"/>
    <w:rsid w:val="008B2EE7"/>
    <w:rsid w:val="008B5662"/>
    <w:rsid w:val="008B796A"/>
    <w:rsid w:val="008C0940"/>
    <w:rsid w:val="008C1892"/>
    <w:rsid w:val="008C3672"/>
    <w:rsid w:val="008C4E9E"/>
    <w:rsid w:val="008C52CC"/>
    <w:rsid w:val="008C58A1"/>
    <w:rsid w:val="008D0BD2"/>
    <w:rsid w:val="008D4E92"/>
    <w:rsid w:val="008D4F21"/>
    <w:rsid w:val="008E152C"/>
    <w:rsid w:val="008F053B"/>
    <w:rsid w:val="008F7756"/>
    <w:rsid w:val="00900B17"/>
    <w:rsid w:val="00900FC7"/>
    <w:rsid w:val="00903429"/>
    <w:rsid w:val="00904443"/>
    <w:rsid w:val="0090598A"/>
    <w:rsid w:val="009059F4"/>
    <w:rsid w:val="00905BE8"/>
    <w:rsid w:val="00912086"/>
    <w:rsid w:val="00913F90"/>
    <w:rsid w:val="00917B87"/>
    <w:rsid w:val="00922E3E"/>
    <w:rsid w:val="00922F85"/>
    <w:rsid w:val="009247DB"/>
    <w:rsid w:val="00926488"/>
    <w:rsid w:val="00931D1C"/>
    <w:rsid w:val="009325C8"/>
    <w:rsid w:val="00934FA3"/>
    <w:rsid w:val="0093584C"/>
    <w:rsid w:val="0094359D"/>
    <w:rsid w:val="0094395C"/>
    <w:rsid w:val="0095597E"/>
    <w:rsid w:val="00956B8F"/>
    <w:rsid w:val="009604DC"/>
    <w:rsid w:val="009641AA"/>
    <w:rsid w:val="009655DF"/>
    <w:rsid w:val="009669DF"/>
    <w:rsid w:val="00967623"/>
    <w:rsid w:val="0097527C"/>
    <w:rsid w:val="00975815"/>
    <w:rsid w:val="009817F0"/>
    <w:rsid w:val="0098644D"/>
    <w:rsid w:val="009926F0"/>
    <w:rsid w:val="00994B03"/>
    <w:rsid w:val="00994E38"/>
    <w:rsid w:val="009A0DBE"/>
    <w:rsid w:val="009A13D2"/>
    <w:rsid w:val="009A5747"/>
    <w:rsid w:val="009B36F4"/>
    <w:rsid w:val="009B60BD"/>
    <w:rsid w:val="009C0668"/>
    <w:rsid w:val="009C1BA2"/>
    <w:rsid w:val="009C2729"/>
    <w:rsid w:val="009C2895"/>
    <w:rsid w:val="009C36E8"/>
    <w:rsid w:val="009C4BDF"/>
    <w:rsid w:val="009C7DE9"/>
    <w:rsid w:val="009D2BC2"/>
    <w:rsid w:val="009D5CEF"/>
    <w:rsid w:val="009D7F8F"/>
    <w:rsid w:val="009E70DA"/>
    <w:rsid w:val="009E7156"/>
    <w:rsid w:val="009F1E71"/>
    <w:rsid w:val="00A021D0"/>
    <w:rsid w:val="00A05CDA"/>
    <w:rsid w:val="00A07DCC"/>
    <w:rsid w:val="00A13284"/>
    <w:rsid w:val="00A14FE4"/>
    <w:rsid w:val="00A15D4B"/>
    <w:rsid w:val="00A15E6A"/>
    <w:rsid w:val="00A17F0B"/>
    <w:rsid w:val="00A20780"/>
    <w:rsid w:val="00A21DA5"/>
    <w:rsid w:val="00A23982"/>
    <w:rsid w:val="00A23C8F"/>
    <w:rsid w:val="00A244F9"/>
    <w:rsid w:val="00A269BA"/>
    <w:rsid w:val="00A326E3"/>
    <w:rsid w:val="00A33AB2"/>
    <w:rsid w:val="00A36948"/>
    <w:rsid w:val="00A429EF"/>
    <w:rsid w:val="00A47564"/>
    <w:rsid w:val="00A4796B"/>
    <w:rsid w:val="00A510F8"/>
    <w:rsid w:val="00A5286F"/>
    <w:rsid w:val="00A534D1"/>
    <w:rsid w:val="00A542E5"/>
    <w:rsid w:val="00A55B18"/>
    <w:rsid w:val="00A57AC2"/>
    <w:rsid w:val="00A60A49"/>
    <w:rsid w:val="00A610EF"/>
    <w:rsid w:val="00A6501C"/>
    <w:rsid w:val="00A67F58"/>
    <w:rsid w:val="00A77D19"/>
    <w:rsid w:val="00A8498A"/>
    <w:rsid w:val="00A86855"/>
    <w:rsid w:val="00A875A9"/>
    <w:rsid w:val="00A93C6B"/>
    <w:rsid w:val="00A9507E"/>
    <w:rsid w:val="00A9776E"/>
    <w:rsid w:val="00AA1687"/>
    <w:rsid w:val="00AA2765"/>
    <w:rsid w:val="00AA4A43"/>
    <w:rsid w:val="00AA70CE"/>
    <w:rsid w:val="00AA77C1"/>
    <w:rsid w:val="00AB2BFB"/>
    <w:rsid w:val="00AC3459"/>
    <w:rsid w:val="00AC6F60"/>
    <w:rsid w:val="00AD12DE"/>
    <w:rsid w:val="00AD5EE3"/>
    <w:rsid w:val="00AD5FC4"/>
    <w:rsid w:val="00AD798D"/>
    <w:rsid w:val="00AD7D6C"/>
    <w:rsid w:val="00AE23D6"/>
    <w:rsid w:val="00AF0669"/>
    <w:rsid w:val="00AF1A45"/>
    <w:rsid w:val="00AF3434"/>
    <w:rsid w:val="00AF5EBD"/>
    <w:rsid w:val="00AF606D"/>
    <w:rsid w:val="00B00463"/>
    <w:rsid w:val="00B02236"/>
    <w:rsid w:val="00B04169"/>
    <w:rsid w:val="00B1317F"/>
    <w:rsid w:val="00B17EB0"/>
    <w:rsid w:val="00B208CF"/>
    <w:rsid w:val="00B23FF4"/>
    <w:rsid w:val="00B25DC2"/>
    <w:rsid w:val="00B2639C"/>
    <w:rsid w:val="00B30113"/>
    <w:rsid w:val="00B302BA"/>
    <w:rsid w:val="00B30D7A"/>
    <w:rsid w:val="00B34E4B"/>
    <w:rsid w:val="00B35DB1"/>
    <w:rsid w:val="00B3653F"/>
    <w:rsid w:val="00B37D8C"/>
    <w:rsid w:val="00B37FF5"/>
    <w:rsid w:val="00B409BC"/>
    <w:rsid w:val="00B427BD"/>
    <w:rsid w:val="00B54E9C"/>
    <w:rsid w:val="00B55BA3"/>
    <w:rsid w:val="00B5795D"/>
    <w:rsid w:val="00B62487"/>
    <w:rsid w:val="00B62EFE"/>
    <w:rsid w:val="00B63F26"/>
    <w:rsid w:val="00B6698C"/>
    <w:rsid w:val="00B67BBA"/>
    <w:rsid w:val="00B73E48"/>
    <w:rsid w:val="00B7692D"/>
    <w:rsid w:val="00B80F8A"/>
    <w:rsid w:val="00B8258D"/>
    <w:rsid w:val="00B837F2"/>
    <w:rsid w:val="00B83AB5"/>
    <w:rsid w:val="00B861CE"/>
    <w:rsid w:val="00B9064F"/>
    <w:rsid w:val="00B923EE"/>
    <w:rsid w:val="00BA0405"/>
    <w:rsid w:val="00BA1671"/>
    <w:rsid w:val="00BA446C"/>
    <w:rsid w:val="00BA531C"/>
    <w:rsid w:val="00BA67F4"/>
    <w:rsid w:val="00BA7DE8"/>
    <w:rsid w:val="00BB2A97"/>
    <w:rsid w:val="00BB3AB2"/>
    <w:rsid w:val="00BB6254"/>
    <w:rsid w:val="00BC1216"/>
    <w:rsid w:val="00BC254F"/>
    <w:rsid w:val="00BC3FBA"/>
    <w:rsid w:val="00BC73CA"/>
    <w:rsid w:val="00BC7E7B"/>
    <w:rsid w:val="00BE0C1D"/>
    <w:rsid w:val="00BE1260"/>
    <w:rsid w:val="00BE2697"/>
    <w:rsid w:val="00BE3BF3"/>
    <w:rsid w:val="00BE5976"/>
    <w:rsid w:val="00BE5A97"/>
    <w:rsid w:val="00BE75AA"/>
    <w:rsid w:val="00BE7BFD"/>
    <w:rsid w:val="00BF3529"/>
    <w:rsid w:val="00BF4E15"/>
    <w:rsid w:val="00BF5497"/>
    <w:rsid w:val="00BF5604"/>
    <w:rsid w:val="00BF7E35"/>
    <w:rsid w:val="00C02466"/>
    <w:rsid w:val="00C02F38"/>
    <w:rsid w:val="00C03F15"/>
    <w:rsid w:val="00C07AA1"/>
    <w:rsid w:val="00C10855"/>
    <w:rsid w:val="00C12B7E"/>
    <w:rsid w:val="00C147A8"/>
    <w:rsid w:val="00C14F49"/>
    <w:rsid w:val="00C15BBA"/>
    <w:rsid w:val="00C1674C"/>
    <w:rsid w:val="00C16B2A"/>
    <w:rsid w:val="00C17D9A"/>
    <w:rsid w:val="00C211B9"/>
    <w:rsid w:val="00C23E12"/>
    <w:rsid w:val="00C2618D"/>
    <w:rsid w:val="00C307B2"/>
    <w:rsid w:val="00C31764"/>
    <w:rsid w:val="00C34241"/>
    <w:rsid w:val="00C34703"/>
    <w:rsid w:val="00C35B3D"/>
    <w:rsid w:val="00C37D02"/>
    <w:rsid w:val="00C40C2E"/>
    <w:rsid w:val="00C42244"/>
    <w:rsid w:val="00C426CC"/>
    <w:rsid w:val="00C43231"/>
    <w:rsid w:val="00C43383"/>
    <w:rsid w:val="00C43C93"/>
    <w:rsid w:val="00C5119D"/>
    <w:rsid w:val="00C51CA3"/>
    <w:rsid w:val="00C51FA7"/>
    <w:rsid w:val="00C556DF"/>
    <w:rsid w:val="00C55CF9"/>
    <w:rsid w:val="00C561BC"/>
    <w:rsid w:val="00C6056E"/>
    <w:rsid w:val="00C61090"/>
    <w:rsid w:val="00C61427"/>
    <w:rsid w:val="00C637F2"/>
    <w:rsid w:val="00C6408B"/>
    <w:rsid w:val="00C66142"/>
    <w:rsid w:val="00C7195B"/>
    <w:rsid w:val="00C72801"/>
    <w:rsid w:val="00C8218E"/>
    <w:rsid w:val="00C8419C"/>
    <w:rsid w:val="00C96204"/>
    <w:rsid w:val="00CA33BE"/>
    <w:rsid w:val="00CA5791"/>
    <w:rsid w:val="00CB11C5"/>
    <w:rsid w:val="00CB2405"/>
    <w:rsid w:val="00CC34C9"/>
    <w:rsid w:val="00CC3C3B"/>
    <w:rsid w:val="00CC4F2D"/>
    <w:rsid w:val="00CC7C37"/>
    <w:rsid w:val="00CC7F7A"/>
    <w:rsid w:val="00CD0BE5"/>
    <w:rsid w:val="00CD162A"/>
    <w:rsid w:val="00CD1E99"/>
    <w:rsid w:val="00CD2A4E"/>
    <w:rsid w:val="00CD2B4F"/>
    <w:rsid w:val="00CD3871"/>
    <w:rsid w:val="00CD609C"/>
    <w:rsid w:val="00CD76C1"/>
    <w:rsid w:val="00CD7CEF"/>
    <w:rsid w:val="00CE46F5"/>
    <w:rsid w:val="00CE5530"/>
    <w:rsid w:val="00CE736A"/>
    <w:rsid w:val="00CE783F"/>
    <w:rsid w:val="00CF5D34"/>
    <w:rsid w:val="00CF5E19"/>
    <w:rsid w:val="00CF7188"/>
    <w:rsid w:val="00D03FDB"/>
    <w:rsid w:val="00D040BF"/>
    <w:rsid w:val="00D0427F"/>
    <w:rsid w:val="00D11D4F"/>
    <w:rsid w:val="00D127F5"/>
    <w:rsid w:val="00D15655"/>
    <w:rsid w:val="00D345C4"/>
    <w:rsid w:val="00D34A7C"/>
    <w:rsid w:val="00D44F13"/>
    <w:rsid w:val="00D45881"/>
    <w:rsid w:val="00D46A0C"/>
    <w:rsid w:val="00D50CDC"/>
    <w:rsid w:val="00D60BF5"/>
    <w:rsid w:val="00D61957"/>
    <w:rsid w:val="00D6225F"/>
    <w:rsid w:val="00D62CDB"/>
    <w:rsid w:val="00D63D98"/>
    <w:rsid w:val="00D663DC"/>
    <w:rsid w:val="00D71979"/>
    <w:rsid w:val="00D756EF"/>
    <w:rsid w:val="00D77067"/>
    <w:rsid w:val="00D81A42"/>
    <w:rsid w:val="00D83394"/>
    <w:rsid w:val="00D83F5E"/>
    <w:rsid w:val="00D919D8"/>
    <w:rsid w:val="00D91D0A"/>
    <w:rsid w:val="00DA0B02"/>
    <w:rsid w:val="00DA15A7"/>
    <w:rsid w:val="00DA3D84"/>
    <w:rsid w:val="00DA4CE6"/>
    <w:rsid w:val="00DA5C03"/>
    <w:rsid w:val="00DB154B"/>
    <w:rsid w:val="00DB1C58"/>
    <w:rsid w:val="00DB6464"/>
    <w:rsid w:val="00DB6A36"/>
    <w:rsid w:val="00DB70C3"/>
    <w:rsid w:val="00DB79F9"/>
    <w:rsid w:val="00DC096D"/>
    <w:rsid w:val="00DC0E11"/>
    <w:rsid w:val="00DD1EEE"/>
    <w:rsid w:val="00DD27EC"/>
    <w:rsid w:val="00DD3F52"/>
    <w:rsid w:val="00DD6399"/>
    <w:rsid w:val="00DE1F2C"/>
    <w:rsid w:val="00DE3B0B"/>
    <w:rsid w:val="00DE4488"/>
    <w:rsid w:val="00DE5EFF"/>
    <w:rsid w:val="00DE66AF"/>
    <w:rsid w:val="00DE6EA1"/>
    <w:rsid w:val="00DF077B"/>
    <w:rsid w:val="00DF365F"/>
    <w:rsid w:val="00DF40CA"/>
    <w:rsid w:val="00DF4871"/>
    <w:rsid w:val="00DF5770"/>
    <w:rsid w:val="00DF7566"/>
    <w:rsid w:val="00E0147E"/>
    <w:rsid w:val="00E04420"/>
    <w:rsid w:val="00E04E00"/>
    <w:rsid w:val="00E06D03"/>
    <w:rsid w:val="00E10799"/>
    <w:rsid w:val="00E12B62"/>
    <w:rsid w:val="00E15843"/>
    <w:rsid w:val="00E16914"/>
    <w:rsid w:val="00E2283B"/>
    <w:rsid w:val="00E22E26"/>
    <w:rsid w:val="00E23776"/>
    <w:rsid w:val="00E2379B"/>
    <w:rsid w:val="00E23F6F"/>
    <w:rsid w:val="00E26435"/>
    <w:rsid w:val="00E31925"/>
    <w:rsid w:val="00E31B78"/>
    <w:rsid w:val="00E3748A"/>
    <w:rsid w:val="00E41A77"/>
    <w:rsid w:val="00E41B2E"/>
    <w:rsid w:val="00E42AEB"/>
    <w:rsid w:val="00E44956"/>
    <w:rsid w:val="00E462D7"/>
    <w:rsid w:val="00E52821"/>
    <w:rsid w:val="00E564A0"/>
    <w:rsid w:val="00E6451F"/>
    <w:rsid w:val="00E6459E"/>
    <w:rsid w:val="00E72050"/>
    <w:rsid w:val="00E773CF"/>
    <w:rsid w:val="00E806F9"/>
    <w:rsid w:val="00E80852"/>
    <w:rsid w:val="00E812E5"/>
    <w:rsid w:val="00E83400"/>
    <w:rsid w:val="00E839AE"/>
    <w:rsid w:val="00E8568B"/>
    <w:rsid w:val="00E86463"/>
    <w:rsid w:val="00E86831"/>
    <w:rsid w:val="00E86CA5"/>
    <w:rsid w:val="00E87407"/>
    <w:rsid w:val="00E8798F"/>
    <w:rsid w:val="00E91811"/>
    <w:rsid w:val="00E91FB2"/>
    <w:rsid w:val="00EA14EA"/>
    <w:rsid w:val="00EA3126"/>
    <w:rsid w:val="00EA45BE"/>
    <w:rsid w:val="00EB45AA"/>
    <w:rsid w:val="00EB7C5A"/>
    <w:rsid w:val="00EC34F7"/>
    <w:rsid w:val="00ED230C"/>
    <w:rsid w:val="00ED2DA1"/>
    <w:rsid w:val="00ED4B50"/>
    <w:rsid w:val="00ED4C1C"/>
    <w:rsid w:val="00ED4E44"/>
    <w:rsid w:val="00ED6C7D"/>
    <w:rsid w:val="00EE087C"/>
    <w:rsid w:val="00EE1BEC"/>
    <w:rsid w:val="00EE24C9"/>
    <w:rsid w:val="00EE26BD"/>
    <w:rsid w:val="00EE3098"/>
    <w:rsid w:val="00EE6303"/>
    <w:rsid w:val="00EE7BB1"/>
    <w:rsid w:val="00EF03BD"/>
    <w:rsid w:val="00EF1DA1"/>
    <w:rsid w:val="00EF6406"/>
    <w:rsid w:val="00F007A4"/>
    <w:rsid w:val="00F026C8"/>
    <w:rsid w:val="00F028F3"/>
    <w:rsid w:val="00F02E83"/>
    <w:rsid w:val="00F0349A"/>
    <w:rsid w:val="00F05B3B"/>
    <w:rsid w:val="00F05CF8"/>
    <w:rsid w:val="00F0630F"/>
    <w:rsid w:val="00F12A74"/>
    <w:rsid w:val="00F15EF1"/>
    <w:rsid w:val="00F17CF0"/>
    <w:rsid w:val="00F23669"/>
    <w:rsid w:val="00F23E4D"/>
    <w:rsid w:val="00F23E69"/>
    <w:rsid w:val="00F30E97"/>
    <w:rsid w:val="00F32FE9"/>
    <w:rsid w:val="00F35191"/>
    <w:rsid w:val="00F362B0"/>
    <w:rsid w:val="00F379E5"/>
    <w:rsid w:val="00F511AA"/>
    <w:rsid w:val="00F511B4"/>
    <w:rsid w:val="00F5388A"/>
    <w:rsid w:val="00F6220B"/>
    <w:rsid w:val="00F64587"/>
    <w:rsid w:val="00F64872"/>
    <w:rsid w:val="00F65D62"/>
    <w:rsid w:val="00F67347"/>
    <w:rsid w:val="00F70F2B"/>
    <w:rsid w:val="00F712B3"/>
    <w:rsid w:val="00F7350F"/>
    <w:rsid w:val="00F73EDD"/>
    <w:rsid w:val="00F74227"/>
    <w:rsid w:val="00F74A89"/>
    <w:rsid w:val="00F76BFC"/>
    <w:rsid w:val="00F81B2D"/>
    <w:rsid w:val="00F823E5"/>
    <w:rsid w:val="00F83FCD"/>
    <w:rsid w:val="00F907BF"/>
    <w:rsid w:val="00F931AF"/>
    <w:rsid w:val="00FA4DD3"/>
    <w:rsid w:val="00FA5C75"/>
    <w:rsid w:val="00FA6893"/>
    <w:rsid w:val="00FA7922"/>
    <w:rsid w:val="00FB1637"/>
    <w:rsid w:val="00FC08EB"/>
    <w:rsid w:val="00FC3289"/>
    <w:rsid w:val="00FC3F0A"/>
    <w:rsid w:val="00FC5000"/>
    <w:rsid w:val="00FD5678"/>
    <w:rsid w:val="00FD7421"/>
    <w:rsid w:val="00FE0AD8"/>
    <w:rsid w:val="00FE6316"/>
    <w:rsid w:val="00FF1091"/>
    <w:rsid w:val="00FF52E4"/>
    <w:rsid w:val="00FF56AE"/>
    <w:rsid w:val="00FF6180"/>
    <w:rsid w:val="00FF70F3"/>
    <w:rsid w:val="1ACE03A6"/>
    <w:rsid w:val="3561DB81"/>
    <w:rsid w:val="7B6EAE5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40EB9"/>
  <w15:docId w15:val="{12F64153-43F5-4E62-B6D8-5D795973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nl-BE" w:bidi="ar-SA"/>
      </w:rPr>
    </w:rPrDefault>
    <w:pPrDefault>
      <w:pPr>
        <w:spacing w:line="264"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20" w:unhideWhenUsed="1" w:qFormat="1"/>
    <w:lsdException w:name="heading 6" w:semiHidden="1" w:uiPriority="20" w:unhideWhenUsed="1" w:qFormat="1"/>
    <w:lsdException w:name="heading 7" w:semiHidden="1" w:uiPriority="20" w:unhideWhenUsed="1" w:qFormat="1"/>
    <w:lsdException w:name="heading 8" w:semiHidden="1" w:uiPriority="20" w:unhideWhenUsed="1" w:qFormat="1"/>
    <w:lsdException w:name="heading 9" w:semiHidden="1" w:uiPriority="20"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36"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6" w:unhideWhenUsed="1"/>
    <w:lsdException w:name="annotation reference" w:semiHidden="1" w:unhideWhenUsed="1"/>
    <w:lsdException w:name="line number" w:semiHidden="1" w:unhideWhenUsed="1"/>
    <w:lsdException w:name="page number" w:semiHidden="1" w:uiPriority="3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8" w:unhideWhenUsed="1"/>
    <w:lsdException w:name="Strong" w:uiPriority="6" w:qFormat="1"/>
    <w:lsdException w:name="Emphasis" w:uiPriority="3" w:qFormat="1"/>
    <w:lsdException w:name="Document Map" w:semiHidden="1" w:uiPriority="4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locked="1" w:semiHidden="1"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qFormat="1"/>
    <w:lsdException w:name="Intense Quote" w:uiPriority="4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49"/>
    <w:lsdException w:name="Intense Reference" w:uiPriority="49"/>
    <w:lsdException w:name="Book Title" w:uiPriority="49"/>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1D1C"/>
  </w:style>
  <w:style w:type="paragraph" w:styleId="Kop1">
    <w:name w:val="heading 1"/>
    <w:basedOn w:val="Standaard"/>
    <w:next w:val="Standaard"/>
    <w:link w:val="Kop1Teken"/>
    <w:uiPriority w:val="9"/>
    <w:qFormat/>
    <w:rsid w:val="009059F4"/>
    <w:pPr>
      <w:keepNext/>
      <w:numPr>
        <w:numId w:val="5"/>
      </w:numPr>
      <w:spacing w:before="480" w:after="120"/>
      <w:outlineLvl w:val="0"/>
    </w:pPr>
    <w:rPr>
      <w:rFonts w:asciiTheme="majorHAnsi" w:hAnsiTheme="majorHAnsi"/>
      <w:sz w:val="28"/>
      <w:szCs w:val="24"/>
      <w:lang w:eastAsia="nl-NL"/>
    </w:rPr>
  </w:style>
  <w:style w:type="paragraph" w:styleId="Kop2">
    <w:name w:val="heading 2"/>
    <w:basedOn w:val="Standaard"/>
    <w:next w:val="Standaard"/>
    <w:link w:val="Kop2Teken"/>
    <w:uiPriority w:val="9"/>
    <w:qFormat/>
    <w:rsid w:val="009059F4"/>
    <w:pPr>
      <w:keepNext/>
      <w:numPr>
        <w:ilvl w:val="1"/>
        <w:numId w:val="5"/>
      </w:numPr>
      <w:spacing w:before="480" w:after="120"/>
      <w:outlineLvl w:val="1"/>
    </w:pPr>
    <w:rPr>
      <w:rFonts w:asciiTheme="majorHAnsi" w:hAnsiTheme="majorHAnsi"/>
      <w:sz w:val="24"/>
      <w:szCs w:val="24"/>
      <w:lang w:eastAsia="nl-NL"/>
    </w:rPr>
  </w:style>
  <w:style w:type="paragraph" w:styleId="Kop3">
    <w:name w:val="heading 3"/>
    <w:basedOn w:val="Standaard"/>
    <w:next w:val="Standaard"/>
    <w:link w:val="Kop3Teken"/>
    <w:uiPriority w:val="9"/>
    <w:qFormat/>
    <w:rsid w:val="00035151"/>
    <w:pPr>
      <w:keepNext/>
      <w:keepLines/>
      <w:numPr>
        <w:ilvl w:val="2"/>
        <w:numId w:val="5"/>
      </w:numPr>
      <w:spacing w:before="360" w:after="120"/>
      <w:outlineLvl w:val="2"/>
    </w:pPr>
    <w:rPr>
      <w:rFonts w:asciiTheme="majorHAnsi" w:hAnsiTheme="majorHAnsi" w:cs="Arial"/>
      <w:bCs/>
      <w:szCs w:val="24"/>
      <w:lang w:eastAsia="nl-NL"/>
    </w:rPr>
  </w:style>
  <w:style w:type="paragraph" w:styleId="Kop4">
    <w:name w:val="heading 4"/>
    <w:basedOn w:val="Standaard"/>
    <w:next w:val="Standaard"/>
    <w:link w:val="Kop4Teken"/>
    <w:uiPriority w:val="9"/>
    <w:qFormat/>
    <w:rsid w:val="00035151"/>
    <w:pPr>
      <w:keepNext/>
      <w:numPr>
        <w:ilvl w:val="3"/>
        <w:numId w:val="4"/>
      </w:numPr>
      <w:spacing w:before="360"/>
      <w:outlineLvl w:val="3"/>
    </w:pPr>
    <w:rPr>
      <w:rFonts w:asciiTheme="majorHAnsi" w:hAnsiTheme="majorHAnsi"/>
      <w:bCs/>
      <w:szCs w:val="24"/>
      <w:lang w:eastAsia="nl-NL"/>
    </w:rPr>
  </w:style>
  <w:style w:type="paragraph" w:styleId="Kop5">
    <w:name w:val="heading 5"/>
    <w:basedOn w:val="Standaard"/>
    <w:next w:val="Standaard"/>
    <w:link w:val="Kop5Teken"/>
    <w:uiPriority w:val="20"/>
    <w:semiHidden/>
    <w:qFormat/>
    <w:rsid w:val="009059F4"/>
    <w:pPr>
      <w:keepNext/>
      <w:numPr>
        <w:ilvl w:val="4"/>
        <w:numId w:val="5"/>
      </w:numPr>
      <w:spacing w:before="240"/>
      <w:outlineLvl w:val="4"/>
    </w:pPr>
    <w:rPr>
      <w:rFonts w:asciiTheme="majorHAnsi" w:hAnsiTheme="majorHAnsi"/>
      <w:b/>
      <w:bCs/>
      <w:iCs/>
      <w:sz w:val="20"/>
    </w:rPr>
  </w:style>
  <w:style w:type="paragraph" w:styleId="Kop6">
    <w:name w:val="heading 6"/>
    <w:basedOn w:val="Standaard"/>
    <w:next w:val="Standaard"/>
    <w:link w:val="Kop6Teken"/>
    <w:uiPriority w:val="20"/>
    <w:semiHidden/>
    <w:qFormat/>
    <w:rsid w:val="009059F4"/>
    <w:pPr>
      <w:numPr>
        <w:ilvl w:val="5"/>
        <w:numId w:val="5"/>
      </w:numPr>
      <w:spacing w:before="60" w:after="60"/>
      <w:outlineLvl w:val="5"/>
    </w:pPr>
    <w:rPr>
      <w:bCs/>
    </w:rPr>
  </w:style>
  <w:style w:type="paragraph" w:styleId="Kop7">
    <w:name w:val="heading 7"/>
    <w:basedOn w:val="Standaard"/>
    <w:next w:val="Standaard"/>
    <w:link w:val="Kop7Teken"/>
    <w:uiPriority w:val="20"/>
    <w:semiHidden/>
    <w:qFormat/>
    <w:rsid w:val="009059F4"/>
    <w:pPr>
      <w:numPr>
        <w:ilvl w:val="6"/>
        <w:numId w:val="5"/>
      </w:numPr>
      <w:spacing w:before="60" w:after="60"/>
      <w:outlineLvl w:val="6"/>
    </w:pPr>
    <w:rPr>
      <w:i/>
    </w:rPr>
  </w:style>
  <w:style w:type="paragraph" w:styleId="Kop8">
    <w:name w:val="heading 8"/>
    <w:basedOn w:val="Standaard"/>
    <w:next w:val="Standaard"/>
    <w:link w:val="Kop8Teken"/>
    <w:uiPriority w:val="20"/>
    <w:semiHidden/>
    <w:qFormat/>
    <w:rsid w:val="009059F4"/>
    <w:pPr>
      <w:numPr>
        <w:ilvl w:val="7"/>
        <w:numId w:val="5"/>
      </w:numPr>
      <w:spacing w:before="60"/>
      <w:outlineLvl w:val="7"/>
    </w:pPr>
  </w:style>
  <w:style w:type="paragraph" w:styleId="Kop9">
    <w:name w:val="heading 9"/>
    <w:basedOn w:val="Standaard"/>
    <w:next w:val="Standaard"/>
    <w:link w:val="Kop9Teken"/>
    <w:uiPriority w:val="20"/>
    <w:semiHidden/>
    <w:qFormat/>
    <w:rsid w:val="009059F4"/>
    <w:pPr>
      <w:numPr>
        <w:ilvl w:val="8"/>
        <w:numId w:val="5"/>
      </w:numPr>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link w:val="Kop1"/>
    <w:uiPriority w:val="9"/>
    <w:rsid w:val="00035151"/>
    <w:rPr>
      <w:rFonts w:asciiTheme="majorHAnsi" w:hAnsiTheme="majorHAnsi"/>
      <w:sz w:val="28"/>
      <w:szCs w:val="24"/>
      <w:lang w:eastAsia="nl-NL"/>
    </w:rPr>
  </w:style>
  <w:style w:type="paragraph" w:styleId="Titel">
    <w:name w:val="Title"/>
    <w:basedOn w:val="Standaard"/>
    <w:next w:val="Standaard"/>
    <w:link w:val="TitelTeken"/>
    <w:uiPriority w:val="19"/>
    <w:qFormat/>
    <w:rsid w:val="00D50CDC"/>
    <w:pPr>
      <w:keepNext/>
      <w:pBdr>
        <w:top w:val="single" w:sz="4" w:space="1" w:color="BEAF00" w:themeColor="accent1" w:themeShade="BF"/>
      </w:pBdr>
      <w:spacing w:before="360" w:after="240"/>
      <w:jc w:val="center"/>
    </w:pPr>
    <w:rPr>
      <w:rFonts w:ascii="Calibri Light" w:eastAsiaTheme="majorEastAsia" w:hAnsi="Calibri Light" w:cstheme="majorBidi"/>
      <w:b/>
      <w:caps/>
      <w:color w:val="BEAF00" w:themeColor="accent1" w:themeShade="BF"/>
      <w:kern w:val="28"/>
      <w:sz w:val="40"/>
      <w:szCs w:val="52"/>
    </w:rPr>
  </w:style>
  <w:style w:type="character" w:customStyle="1" w:styleId="TitelTeken">
    <w:name w:val="Titel Teken"/>
    <w:basedOn w:val="Standaardalinea-lettertype"/>
    <w:link w:val="Titel"/>
    <w:uiPriority w:val="19"/>
    <w:rsid w:val="00D50CDC"/>
    <w:rPr>
      <w:rFonts w:ascii="Calibri Light" w:eastAsiaTheme="majorEastAsia" w:hAnsi="Calibri Light" w:cstheme="majorBidi"/>
      <w:b/>
      <w:caps/>
      <w:color w:val="BEAF00" w:themeColor="accent1" w:themeShade="BF"/>
      <w:kern w:val="28"/>
      <w:sz w:val="40"/>
      <w:szCs w:val="52"/>
    </w:rPr>
  </w:style>
  <w:style w:type="character" w:customStyle="1" w:styleId="Kop3Teken">
    <w:name w:val="Kop 3 Teken"/>
    <w:basedOn w:val="Kop1Teken"/>
    <w:link w:val="Kop3"/>
    <w:uiPriority w:val="9"/>
    <w:rsid w:val="00035151"/>
    <w:rPr>
      <w:rFonts w:asciiTheme="majorHAnsi" w:hAnsiTheme="majorHAnsi" w:cs="Arial"/>
      <w:bCs/>
      <w:sz w:val="28"/>
      <w:szCs w:val="24"/>
      <w:lang w:eastAsia="nl-NL"/>
    </w:rPr>
  </w:style>
  <w:style w:type="character" w:customStyle="1" w:styleId="Kop2Teken">
    <w:name w:val="Kop 2 Teken"/>
    <w:link w:val="Kop2"/>
    <w:uiPriority w:val="9"/>
    <w:rsid w:val="00035151"/>
    <w:rPr>
      <w:rFonts w:asciiTheme="majorHAnsi" w:hAnsiTheme="majorHAnsi"/>
      <w:sz w:val="24"/>
      <w:szCs w:val="24"/>
      <w:lang w:eastAsia="nl-NL"/>
    </w:rPr>
  </w:style>
  <w:style w:type="character" w:customStyle="1" w:styleId="Kop4Teken">
    <w:name w:val="Kop 4 Teken"/>
    <w:basedOn w:val="Kop1Teken"/>
    <w:link w:val="Kop4"/>
    <w:uiPriority w:val="9"/>
    <w:rsid w:val="00035151"/>
    <w:rPr>
      <w:rFonts w:asciiTheme="majorHAnsi" w:hAnsiTheme="majorHAnsi"/>
      <w:bCs/>
      <w:sz w:val="28"/>
      <w:szCs w:val="24"/>
      <w:lang w:eastAsia="nl-NL"/>
    </w:rPr>
  </w:style>
  <w:style w:type="character" w:customStyle="1" w:styleId="Kop5Teken">
    <w:name w:val="Kop 5 Teken"/>
    <w:basedOn w:val="Standaardalinea-lettertype"/>
    <w:link w:val="Kop5"/>
    <w:uiPriority w:val="20"/>
    <w:semiHidden/>
    <w:rsid w:val="005A04EE"/>
    <w:rPr>
      <w:rFonts w:asciiTheme="majorHAnsi" w:hAnsiTheme="majorHAnsi"/>
      <w:b/>
      <w:bCs/>
      <w:iCs/>
      <w:sz w:val="20"/>
    </w:rPr>
  </w:style>
  <w:style w:type="character" w:customStyle="1" w:styleId="Kop6Teken">
    <w:name w:val="Kop 6 Teken"/>
    <w:basedOn w:val="Standaardalinea-lettertype"/>
    <w:link w:val="Kop6"/>
    <w:uiPriority w:val="20"/>
    <w:semiHidden/>
    <w:rsid w:val="005A04EE"/>
    <w:rPr>
      <w:bCs/>
    </w:rPr>
  </w:style>
  <w:style w:type="character" w:customStyle="1" w:styleId="Kop7Teken">
    <w:name w:val="Kop 7 Teken"/>
    <w:basedOn w:val="Standaardalinea-lettertype"/>
    <w:link w:val="Kop7"/>
    <w:uiPriority w:val="20"/>
    <w:semiHidden/>
    <w:rsid w:val="005A04EE"/>
    <w:rPr>
      <w:i/>
    </w:rPr>
  </w:style>
  <w:style w:type="character" w:customStyle="1" w:styleId="Kop8Teken">
    <w:name w:val="Kop 8 Teken"/>
    <w:basedOn w:val="Standaardalinea-lettertype"/>
    <w:link w:val="Kop8"/>
    <w:uiPriority w:val="20"/>
    <w:semiHidden/>
    <w:rsid w:val="005A04EE"/>
  </w:style>
  <w:style w:type="character" w:customStyle="1" w:styleId="Kop9Teken">
    <w:name w:val="Kop 9 Teken"/>
    <w:basedOn w:val="Standaardalinea-lettertype"/>
    <w:link w:val="Kop9"/>
    <w:uiPriority w:val="20"/>
    <w:semiHidden/>
    <w:rsid w:val="005A04EE"/>
    <w:rPr>
      <w:i/>
    </w:rPr>
  </w:style>
  <w:style w:type="paragraph" w:customStyle="1" w:styleId="Opsomming">
    <w:name w:val="Opsomming"/>
    <w:basedOn w:val="Standaard"/>
    <w:link w:val="OpsommingChar"/>
    <w:uiPriority w:val="1"/>
    <w:qFormat/>
    <w:rsid w:val="0077361B"/>
    <w:pPr>
      <w:numPr>
        <w:numId w:val="2"/>
      </w:numPr>
    </w:pPr>
  </w:style>
  <w:style w:type="paragraph" w:customStyle="1" w:styleId="Nummering">
    <w:name w:val="Nummering"/>
    <w:basedOn w:val="Standaard"/>
    <w:link w:val="NummeringChar"/>
    <w:uiPriority w:val="1"/>
    <w:qFormat/>
    <w:rsid w:val="004166A5"/>
    <w:pPr>
      <w:numPr>
        <w:numId w:val="28"/>
      </w:numPr>
    </w:pPr>
    <w:rPr>
      <w:lang w:eastAsia="nl-NL"/>
    </w:rPr>
  </w:style>
  <w:style w:type="character" w:styleId="Voetnootmarkering">
    <w:name w:val="footnote reference"/>
    <w:uiPriority w:val="36"/>
    <w:semiHidden/>
    <w:rsid w:val="004166A5"/>
    <w:rPr>
      <w:vertAlign w:val="superscript"/>
    </w:rPr>
  </w:style>
  <w:style w:type="paragraph" w:styleId="Voetnoottekst">
    <w:name w:val="footnote text"/>
    <w:basedOn w:val="Standaard"/>
    <w:link w:val="VoetnoottekstTeken"/>
    <w:uiPriority w:val="36"/>
    <w:semiHidden/>
    <w:rsid w:val="004166A5"/>
    <w:pPr>
      <w:tabs>
        <w:tab w:val="left" w:pos="284"/>
      </w:tabs>
      <w:ind w:left="284" w:hanging="284"/>
    </w:pPr>
    <w:rPr>
      <w:sz w:val="20"/>
    </w:rPr>
  </w:style>
  <w:style w:type="character" w:customStyle="1" w:styleId="VoetnoottekstTeken">
    <w:name w:val="Voetnoottekst Teken"/>
    <w:link w:val="Voetnoottekst"/>
    <w:uiPriority w:val="36"/>
    <w:semiHidden/>
    <w:rsid w:val="004166A5"/>
    <w:rPr>
      <w:sz w:val="20"/>
    </w:rPr>
  </w:style>
  <w:style w:type="paragraph" w:styleId="Voettekst">
    <w:name w:val="footer"/>
    <w:basedOn w:val="Standaard"/>
    <w:link w:val="VoettekstTeken"/>
    <w:uiPriority w:val="99"/>
    <w:semiHidden/>
    <w:rsid w:val="004166A5"/>
    <w:pPr>
      <w:tabs>
        <w:tab w:val="right" w:pos="9072"/>
      </w:tabs>
    </w:pPr>
    <w:rPr>
      <w:sz w:val="18"/>
      <w:szCs w:val="18"/>
    </w:rPr>
  </w:style>
  <w:style w:type="character" w:customStyle="1" w:styleId="VoettekstTeken">
    <w:name w:val="Voettekst Teken"/>
    <w:link w:val="Voettekst"/>
    <w:uiPriority w:val="99"/>
    <w:semiHidden/>
    <w:rsid w:val="004166A5"/>
    <w:rPr>
      <w:sz w:val="18"/>
      <w:szCs w:val="18"/>
    </w:rPr>
  </w:style>
  <w:style w:type="paragraph" w:styleId="Ballontekst">
    <w:name w:val="Balloon Text"/>
    <w:basedOn w:val="Standaard"/>
    <w:link w:val="BallontekstTeken"/>
    <w:uiPriority w:val="99"/>
    <w:semiHidden/>
    <w:rsid w:val="004166A5"/>
    <w:rPr>
      <w:rFonts w:cs="Tahoma"/>
      <w:sz w:val="20"/>
      <w:szCs w:val="16"/>
    </w:rPr>
  </w:style>
  <w:style w:type="character" w:customStyle="1" w:styleId="BallontekstTeken">
    <w:name w:val="Ballontekst Teken"/>
    <w:link w:val="Ballontekst"/>
    <w:uiPriority w:val="99"/>
    <w:semiHidden/>
    <w:rsid w:val="004166A5"/>
    <w:rPr>
      <w:rFonts w:cs="Tahoma"/>
      <w:sz w:val="20"/>
      <w:szCs w:val="16"/>
    </w:rPr>
  </w:style>
  <w:style w:type="paragraph" w:styleId="Documentstructuur">
    <w:name w:val="Document Map"/>
    <w:basedOn w:val="Standaard"/>
    <w:link w:val="DocumentstructuurTeken"/>
    <w:uiPriority w:val="49"/>
    <w:semiHidden/>
    <w:rsid w:val="004166A5"/>
    <w:pPr>
      <w:shd w:val="clear" w:color="auto" w:fill="000080"/>
    </w:pPr>
    <w:rPr>
      <w:rFonts w:ascii="Tahoma" w:hAnsi="Tahoma" w:cs="Tahoma"/>
    </w:rPr>
  </w:style>
  <w:style w:type="character" w:customStyle="1" w:styleId="DocumentstructuurTeken">
    <w:name w:val="Documentstructuur Teken"/>
    <w:link w:val="Documentstructuur"/>
    <w:uiPriority w:val="49"/>
    <w:semiHidden/>
    <w:rsid w:val="004166A5"/>
    <w:rPr>
      <w:rFonts w:ascii="Tahoma" w:hAnsi="Tahoma" w:cs="Tahoma"/>
      <w:shd w:val="clear" w:color="auto" w:fill="000080"/>
    </w:rPr>
  </w:style>
  <w:style w:type="character" w:styleId="GevolgdeHyperlink">
    <w:name w:val="FollowedHyperlink"/>
    <w:uiPriority w:val="38"/>
    <w:semiHidden/>
    <w:rsid w:val="004166A5"/>
    <w:rPr>
      <w:color w:val="3333FF"/>
      <w:sz w:val="22"/>
      <w:u w:val="single"/>
    </w:rPr>
  </w:style>
  <w:style w:type="character" w:styleId="Hyperlink">
    <w:name w:val="Hyperlink"/>
    <w:uiPriority w:val="99"/>
    <w:semiHidden/>
    <w:rsid w:val="004166A5"/>
    <w:rPr>
      <w:b w:val="0"/>
      <w:color w:val="3333FF"/>
      <w:sz w:val="22"/>
      <w:u w:val="single"/>
    </w:rPr>
  </w:style>
  <w:style w:type="paragraph" w:styleId="Inhopg1">
    <w:name w:val="toc 1"/>
    <w:basedOn w:val="Standaard"/>
    <w:autoRedefine/>
    <w:uiPriority w:val="39"/>
    <w:semiHidden/>
    <w:rsid w:val="004166A5"/>
    <w:pPr>
      <w:tabs>
        <w:tab w:val="right" w:leader="dot" w:pos="9072"/>
      </w:tabs>
      <w:spacing w:before="120"/>
      <w:ind w:left="284" w:hanging="284"/>
    </w:pPr>
    <w:rPr>
      <w:bCs/>
      <w:sz w:val="20"/>
    </w:rPr>
  </w:style>
  <w:style w:type="paragraph" w:styleId="Inhopg2">
    <w:name w:val="toc 2"/>
    <w:basedOn w:val="Standaard"/>
    <w:autoRedefine/>
    <w:uiPriority w:val="39"/>
    <w:semiHidden/>
    <w:qFormat/>
    <w:rsid w:val="004166A5"/>
    <w:pPr>
      <w:tabs>
        <w:tab w:val="left" w:pos="709"/>
        <w:tab w:val="right" w:leader="dot" w:pos="9072"/>
      </w:tabs>
      <w:ind w:left="709" w:hanging="425"/>
    </w:pPr>
    <w:rPr>
      <w:noProof/>
      <w:sz w:val="20"/>
    </w:rPr>
  </w:style>
  <w:style w:type="paragraph" w:styleId="Inhopg3">
    <w:name w:val="toc 3"/>
    <w:basedOn w:val="Standaard"/>
    <w:autoRedefine/>
    <w:uiPriority w:val="39"/>
    <w:semiHidden/>
    <w:qFormat/>
    <w:rsid w:val="004166A5"/>
    <w:pPr>
      <w:tabs>
        <w:tab w:val="left" w:pos="1276"/>
        <w:tab w:val="right" w:leader="dot" w:pos="9072"/>
      </w:tabs>
      <w:ind w:left="1276" w:hanging="567"/>
    </w:pPr>
    <w:rPr>
      <w:iCs/>
      <w:noProof/>
      <w:sz w:val="20"/>
    </w:rPr>
  </w:style>
  <w:style w:type="paragraph" w:styleId="Inhopg4">
    <w:name w:val="toc 4"/>
    <w:basedOn w:val="Standaard"/>
    <w:autoRedefine/>
    <w:uiPriority w:val="39"/>
    <w:semiHidden/>
    <w:rsid w:val="004166A5"/>
    <w:pPr>
      <w:tabs>
        <w:tab w:val="left" w:pos="1997"/>
        <w:tab w:val="right" w:leader="dot" w:pos="9072"/>
      </w:tabs>
      <w:ind w:left="1985" w:hanging="709"/>
    </w:pPr>
    <w:rPr>
      <w:noProof/>
      <w:sz w:val="20"/>
      <w:szCs w:val="18"/>
    </w:rPr>
  </w:style>
  <w:style w:type="table" w:styleId="Klassieketabel1">
    <w:name w:val="Table Classic 1"/>
    <w:basedOn w:val="Standaardtabel"/>
    <w:rsid w:val="004166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Koptekst">
    <w:name w:val="header"/>
    <w:basedOn w:val="Standaard"/>
    <w:link w:val="KoptekstTeken"/>
    <w:uiPriority w:val="99"/>
    <w:semiHidden/>
    <w:rsid w:val="004166A5"/>
    <w:pPr>
      <w:tabs>
        <w:tab w:val="right" w:pos="9072"/>
      </w:tabs>
    </w:pPr>
    <w:rPr>
      <w:sz w:val="18"/>
    </w:rPr>
  </w:style>
  <w:style w:type="character" w:customStyle="1" w:styleId="KoptekstTeken">
    <w:name w:val="Koptekst Teken"/>
    <w:basedOn w:val="Standaardalinea-lettertype"/>
    <w:link w:val="Koptekst"/>
    <w:uiPriority w:val="99"/>
    <w:semiHidden/>
    <w:rsid w:val="004166A5"/>
    <w:rPr>
      <w:sz w:val="18"/>
    </w:rPr>
  </w:style>
  <w:style w:type="character" w:customStyle="1" w:styleId="NummeringChar">
    <w:name w:val="Nummering Char"/>
    <w:basedOn w:val="Standaardalinea-lettertype"/>
    <w:link w:val="Nummering"/>
    <w:uiPriority w:val="1"/>
    <w:rsid w:val="00931D1C"/>
    <w:rPr>
      <w:lang w:eastAsia="nl-NL"/>
    </w:rPr>
  </w:style>
  <w:style w:type="paragraph" w:styleId="Tekstopmerking">
    <w:name w:val="annotation text"/>
    <w:basedOn w:val="Standaard"/>
    <w:link w:val="TekstopmerkingTeken"/>
    <w:uiPriority w:val="99"/>
    <w:rsid w:val="004166A5"/>
    <w:pPr>
      <w:spacing w:after="200"/>
    </w:pPr>
    <w:rPr>
      <w:sz w:val="18"/>
    </w:rPr>
  </w:style>
  <w:style w:type="character" w:customStyle="1" w:styleId="TekstopmerkingTeken">
    <w:name w:val="Tekst opmerking Teken"/>
    <w:link w:val="Tekstopmerking"/>
    <w:uiPriority w:val="99"/>
    <w:rsid w:val="004166A5"/>
    <w:rPr>
      <w:sz w:val="18"/>
    </w:rPr>
  </w:style>
  <w:style w:type="paragraph" w:styleId="Onderwerpvanopmerking">
    <w:name w:val="annotation subject"/>
    <w:basedOn w:val="Tekstopmerking"/>
    <w:next w:val="Tekstopmerking"/>
    <w:link w:val="OnderwerpvanopmerkingTeken"/>
    <w:uiPriority w:val="99"/>
    <w:semiHidden/>
    <w:rsid w:val="004166A5"/>
    <w:rPr>
      <w:b/>
      <w:bCs/>
    </w:rPr>
  </w:style>
  <w:style w:type="character" w:customStyle="1" w:styleId="OnderwerpvanopmerkingTeken">
    <w:name w:val="Onderwerp van opmerking Teken"/>
    <w:link w:val="Onderwerpvanopmerking"/>
    <w:uiPriority w:val="99"/>
    <w:semiHidden/>
    <w:rsid w:val="004166A5"/>
    <w:rPr>
      <w:b/>
      <w:bCs/>
      <w:sz w:val="18"/>
    </w:rPr>
  </w:style>
  <w:style w:type="character" w:styleId="Paginanummer">
    <w:name w:val="page number"/>
    <w:uiPriority w:val="37"/>
    <w:semiHidden/>
    <w:rsid w:val="004166A5"/>
    <w:rPr>
      <w:rFonts w:ascii="Garamond" w:hAnsi="Garamond"/>
      <w:sz w:val="20"/>
      <w:szCs w:val="20"/>
    </w:rPr>
  </w:style>
  <w:style w:type="paragraph" w:styleId="Plattetekst">
    <w:name w:val="Body Text"/>
    <w:basedOn w:val="Standaard"/>
    <w:link w:val="PlattetekstTeken"/>
    <w:uiPriority w:val="49"/>
    <w:semiHidden/>
    <w:rsid w:val="004166A5"/>
  </w:style>
  <w:style w:type="character" w:customStyle="1" w:styleId="PlattetekstTeken">
    <w:name w:val="Platte tekst Teken"/>
    <w:basedOn w:val="Standaardalinea-lettertype"/>
    <w:link w:val="Plattetekst"/>
    <w:uiPriority w:val="49"/>
    <w:semiHidden/>
    <w:rsid w:val="004166A5"/>
  </w:style>
  <w:style w:type="table" w:styleId="Tabelraster">
    <w:name w:val="Table Grid"/>
    <w:basedOn w:val="Standaardtabel"/>
    <w:rsid w:val="004166A5"/>
    <w:rPr>
      <w:rFonts w:asciiTheme="minorHAnsi" w:hAnsiTheme="minorHAnsi"/>
    </w:rPr>
    <w:tblPr>
      <w:jc w:val="center"/>
      <w:tblInd w:w="0" w:type="dxa"/>
      <w:tblCellMar>
        <w:top w:w="0" w:type="dxa"/>
        <w:left w:w="108" w:type="dxa"/>
        <w:bottom w:w="0" w:type="dxa"/>
        <w:right w:w="108" w:type="dxa"/>
      </w:tblCellMar>
    </w:tblPr>
    <w:trPr>
      <w:tblHeader/>
      <w:jc w:val="center"/>
    </w:trPr>
    <w:tcPr>
      <w:vAlign w:val="center"/>
    </w:tcPr>
  </w:style>
  <w:style w:type="paragraph" w:customStyle="1" w:styleId="Titelsub">
    <w:name w:val="Titelsub"/>
    <w:basedOn w:val="Standaard"/>
    <w:next w:val="Standaard"/>
    <w:link w:val="TitelsubChar"/>
    <w:uiPriority w:val="19"/>
    <w:qFormat/>
    <w:rsid w:val="00D50CDC"/>
    <w:pPr>
      <w:keepNext/>
      <w:keepLines/>
      <w:pBdr>
        <w:bottom w:val="single" w:sz="4" w:space="1" w:color="BEAF00" w:themeColor="accent1" w:themeShade="BF"/>
      </w:pBdr>
      <w:spacing w:before="240" w:after="360"/>
      <w:jc w:val="center"/>
    </w:pPr>
    <w:rPr>
      <w:rFonts w:ascii="Calibri Light" w:hAnsi="Calibri Light"/>
      <w:b/>
      <w:smallCaps/>
      <w:color w:val="BEAF00" w:themeColor="accent1" w:themeShade="BF"/>
      <w:sz w:val="32"/>
      <w:szCs w:val="28"/>
    </w:rPr>
  </w:style>
  <w:style w:type="character" w:styleId="Verwijzingopmerking">
    <w:name w:val="annotation reference"/>
    <w:uiPriority w:val="99"/>
    <w:semiHidden/>
    <w:rsid w:val="004166A5"/>
    <w:rPr>
      <w:rFonts w:cs="Times New Roman"/>
      <w:sz w:val="16"/>
      <w:szCs w:val="16"/>
    </w:rPr>
  </w:style>
  <w:style w:type="paragraph" w:styleId="Kopvaninhoudsopgave">
    <w:name w:val="TOC Heading"/>
    <w:basedOn w:val="Kop1"/>
    <w:next w:val="Standaard"/>
    <w:uiPriority w:val="39"/>
    <w:semiHidden/>
    <w:qFormat/>
    <w:rsid w:val="004166A5"/>
    <w:pPr>
      <w:keepLines/>
      <w:numPr>
        <w:numId w:val="0"/>
      </w:numPr>
      <w:spacing w:before="720"/>
      <w:outlineLvl w:val="9"/>
    </w:pPr>
    <w:rPr>
      <w:rFonts w:eastAsiaTheme="majorEastAsia" w:cs="Arial"/>
      <w:bCs/>
    </w:rPr>
  </w:style>
  <w:style w:type="paragraph" w:styleId="Lijstnummering">
    <w:name w:val="List Number"/>
    <w:basedOn w:val="Standaard"/>
    <w:uiPriority w:val="99"/>
    <w:semiHidden/>
    <w:unhideWhenUsed/>
    <w:rsid w:val="004166A5"/>
    <w:pPr>
      <w:contextualSpacing/>
    </w:pPr>
  </w:style>
  <w:style w:type="character" w:customStyle="1" w:styleId="TitelsubChar">
    <w:name w:val="Titelsub Char"/>
    <w:basedOn w:val="Standaardalinea-lettertype"/>
    <w:link w:val="Titelsub"/>
    <w:uiPriority w:val="19"/>
    <w:rsid w:val="00D50CDC"/>
    <w:rPr>
      <w:rFonts w:ascii="Calibri Light" w:hAnsi="Calibri Light"/>
      <w:b/>
      <w:smallCaps/>
      <w:color w:val="BEAF00" w:themeColor="accent1" w:themeShade="BF"/>
      <w:sz w:val="32"/>
      <w:szCs w:val="28"/>
    </w:rPr>
  </w:style>
  <w:style w:type="character" w:styleId="Nadruk">
    <w:name w:val="Emphasis"/>
    <w:basedOn w:val="Standaardalinea-lettertype"/>
    <w:uiPriority w:val="3"/>
    <w:qFormat/>
    <w:rsid w:val="00894FCE"/>
    <w:rPr>
      <w:rFonts w:asciiTheme="minorHAnsi" w:hAnsiTheme="minorHAnsi"/>
      <w:b/>
      <w:i/>
      <w:iCs/>
      <w:color w:val="BEAF00" w:themeColor="accent1" w:themeShade="BF"/>
    </w:rPr>
  </w:style>
  <w:style w:type="character" w:customStyle="1" w:styleId="OpsommingChar">
    <w:name w:val="Opsomming Char"/>
    <w:link w:val="Opsomming"/>
    <w:uiPriority w:val="1"/>
    <w:rsid w:val="00931D1C"/>
  </w:style>
  <w:style w:type="table" w:customStyle="1" w:styleId="VOI-tabel">
    <w:name w:val="VOI-tabel"/>
    <w:basedOn w:val="Standaardtabel"/>
    <w:uiPriority w:val="99"/>
    <w:rsid w:val="004166A5"/>
    <w:pPr>
      <w:spacing w:line="240" w:lineRule="auto"/>
      <w:jc w:val="center"/>
    </w:pPr>
    <w:rPr>
      <w:rFonts w:asciiTheme="minorHAnsi" w:hAnsiTheme="minorHAnsi"/>
    </w:rPr>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rPr>
      <w:cantSplit/>
      <w:jc w:val="center"/>
    </w:trPr>
    <w:tcPr>
      <w:shd w:val="clear" w:color="auto" w:fill="auto"/>
      <w:vAlign w:val="center"/>
    </w:tcPr>
    <w:tblStylePr w:type="firstRow">
      <w:pPr>
        <w:jc w:val="center"/>
      </w:pPr>
      <w:rPr>
        <w:rFonts w:asciiTheme="majorHAnsi" w:hAnsiTheme="majorHAnsi"/>
        <w:b/>
        <w:caps/>
        <w:smallCaps w:val="0"/>
      </w:rPr>
      <w:tblPr/>
      <w:trPr>
        <w:cantSplit w:val="0"/>
        <w:tblHeader/>
      </w:trPr>
      <w:tcPr>
        <w:shd w:val="clear" w:color="auto" w:fill="FEEC00" w:themeFill="accent1"/>
      </w:tcPr>
    </w:tblStylePr>
    <w:tblStylePr w:type="lastRow">
      <w:pPr>
        <w:jc w:val="center"/>
      </w:pPr>
      <w:rPr>
        <w:rFonts w:asciiTheme="majorHAnsi" w:hAnsiTheme="majorHAnsi"/>
        <w:b/>
      </w:rPr>
      <w:tblPr/>
      <w:tcPr>
        <w:shd w:val="clear" w:color="auto" w:fill="FFF798" w:themeFill="accent1" w:themeFillTint="66"/>
      </w:tcPr>
    </w:tblStylePr>
    <w:tblStylePr w:type="firstCol">
      <w:pPr>
        <w:jc w:val="center"/>
      </w:pPr>
      <w:rPr>
        <w:rFonts w:asciiTheme="majorHAnsi" w:hAnsiTheme="majorHAnsi"/>
        <w:b/>
        <w:caps w:val="0"/>
        <w:smallCaps/>
      </w:rPr>
      <w:tblPr/>
      <w:tcPr>
        <w:shd w:val="clear" w:color="auto" w:fill="FFF798" w:themeFill="accent1" w:themeFillTint="66"/>
      </w:tcPr>
    </w:tblStylePr>
    <w:tblStylePr w:type="lastCol">
      <w:rPr>
        <w:b/>
      </w:rPr>
    </w:tblStylePr>
    <w:tblStylePr w:type="band2Vert">
      <w:rPr>
        <w:color w:val="3C3D3C" w:themeColor="text2"/>
      </w:rPr>
      <w:tblPr/>
      <w:tcPr>
        <w:shd w:val="clear" w:color="auto" w:fill="FFFBCB" w:themeFill="accent1" w:themeFillTint="33"/>
      </w:tcPr>
    </w:tblStylePr>
    <w:tblStylePr w:type="band2Horz">
      <w:tblPr/>
      <w:tcPr>
        <w:shd w:val="clear" w:color="auto" w:fill="FFFBCB" w:themeFill="accent1" w:themeFillTint="33"/>
      </w:tcPr>
    </w:tblStylePr>
  </w:style>
  <w:style w:type="character" w:styleId="Tekstvantijdelijkeaanduiding">
    <w:name w:val="Placeholder Text"/>
    <w:basedOn w:val="Standaardalinea-lettertype"/>
    <w:uiPriority w:val="99"/>
    <w:semiHidden/>
    <w:rsid w:val="004166A5"/>
    <w:rPr>
      <w:color w:val="808080"/>
    </w:rPr>
  </w:style>
  <w:style w:type="paragraph" w:customStyle="1" w:styleId="Briefhoofd1Naam">
    <w:name w:val="Briefhoofd1_Naam"/>
    <w:basedOn w:val="Standaard"/>
    <w:next w:val="Standaard"/>
    <w:uiPriority w:val="22"/>
    <w:semiHidden/>
    <w:rsid w:val="004166A5"/>
    <w:rPr>
      <w:szCs w:val="20"/>
      <w:lang w:eastAsia="en-US"/>
    </w:rPr>
  </w:style>
  <w:style w:type="paragraph" w:customStyle="1" w:styleId="Briefhoofd2Titel">
    <w:name w:val="Briefhoofd2_Titel"/>
    <w:basedOn w:val="Briefhoofd1Naam"/>
    <w:next w:val="Standaard"/>
    <w:uiPriority w:val="22"/>
    <w:semiHidden/>
    <w:qFormat/>
    <w:rsid w:val="004166A5"/>
  </w:style>
  <w:style w:type="paragraph" w:customStyle="1" w:styleId="Briefhoofd3Straat">
    <w:name w:val="Briefhoofd3_Straat"/>
    <w:basedOn w:val="Briefhoofd1Naam"/>
    <w:next w:val="Standaard"/>
    <w:uiPriority w:val="22"/>
    <w:semiHidden/>
    <w:qFormat/>
    <w:rsid w:val="004166A5"/>
    <w:pPr>
      <w:spacing w:before="120" w:after="120"/>
    </w:pPr>
    <w:rPr>
      <w:rFonts w:cs="Arial"/>
    </w:rPr>
  </w:style>
  <w:style w:type="paragraph" w:customStyle="1" w:styleId="Briefhoofd4Gemeente">
    <w:name w:val="Briefhoofd4_Gemeente"/>
    <w:basedOn w:val="Briefhoofd1Naam"/>
    <w:uiPriority w:val="22"/>
    <w:semiHidden/>
    <w:qFormat/>
    <w:rsid w:val="004166A5"/>
    <w:rPr>
      <w:rFonts w:cs="Arial"/>
      <w:caps/>
    </w:rPr>
  </w:style>
  <w:style w:type="paragraph" w:customStyle="1" w:styleId="Inspectie1">
    <w:name w:val="Inspectie1"/>
    <w:basedOn w:val="Standaard"/>
    <w:uiPriority w:val="23"/>
    <w:semiHidden/>
    <w:rsid w:val="004166A5"/>
    <w:pPr>
      <w:spacing w:before="120" w:after="120"/>
    </w:pPr>
    <w:rPr>
      <w:b/>
      <w:caps/>
      <w:sz w:val="24"/>
    </w:rPr>
  </w:style>
  <w:style w:type="paragraph" w:customStyle="1" w:styleId="Inspectie2">
    <w:name w:val="Inspectie2"/>
    <w:basedOn w:val="Standaard"/>
    <w:uiPriority w:val="23"/>
    <w:semiHidden/>
    <w:qFormat/>
    <w:rsid w:val="004166A5"/>
  </w:style>
  <w:style w:type="paragraph" w:customStyle="1" w:styleId="Inspectie3">
    <w:name w:val="Inspectie3"/>
    <w:basedOn w:val="Standaard"/>
    <w:uiPriority w:val="23"/>
    <w:semiHidden/>
    <w:qFormat/>
    <w:rsid w:val="004166A5"/>
    <w:pPr>
      <w:spacing w:before="120" w:after="120"/>
    </w:pPr>
  </w:style>
  <w:style w:type="paragraph" w:customStyle="1" w:styleId="Hoofding">
    <w:name w:val="Hoofding"/>
    <w:basedOn w:val="Titel"/>
    <w:uiPriority w:val="20"/>
    <w:semiHidden/>
    <w:qFormat/>
    <w:rsid w:val="004166A5"/>
    <w:pPr>
      <w:spacing w:before="0" w:after="0"/>
      <w:contextualSpacing/>
    </w:pPr>
  </w:style>
  <w:style w:type="paragraph" w:customStyle="1" w:styleId="HoofdingSub">
    <w:name w:val="HoofdingSub"/>
    <w:basedOn w:val="Titelsub"/>
    <w:uiPriority w:val="21"/>
    <w:semiHidden/>
    <w:qFormat/>
    <w:rsid w:val="004166A5"/>
    <w:pPr>
      <w:spacing w:after="0"/>
      <w:contextualSpacing/>
    </w:pPr>
  </w:style>
  <w:style w:type="character" w:customStyle="1" w:styleId="Zwarehoofdletter">
    <w:name w:val="Zware hoofdletter"/>
    <w:basedOn w:val="Standaardalinea-lettertype"/>
    <w:uiPriority w:val="2"/>
    <w:qFormat/>
    <w:rsid w:val="008F7756"/>
    <w:rPr>
      <w:rFonts w:asciiTheme="minorHAnsi" w:hAnsiTheme="minorHAnsi"/>
      <w:b/>
      <w:i w:val="0"/>
      <w:caps/>
      <w:smallCaps w:val="0"/>
      <w:color w:val="BEAF00" w:themeColor="accent1" w:themeShade="BF"/>
    </w:rPr>
  </w:style>
  <w:style w:type="table" w:customStyle="1" w:styleId="I20-Kritischekenmerken">
    <w:name w:val="I20-Kritische_kenmerken"/>
    <w:basedOn w:val="VOI-tabel"/>
    <w:uiPriority w:val="99"/>
    <w:rsid w:val="006C3D33"/>
    <w:pPr>
      <w:jc w:val="left"/>
    </w:pPr>
    <w:rPr>
      <w:sz w:val="18"/>
    </w:rPr>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rPr>
      <w:cantSplit/>
      <w:jc w:val="center"/>
    </w:trPr>
    <w:tcPr>
      <w:shd w:val="clear" w:color="auto" w:fill="auto"/>
      <w:vAlign w:val="center"/>
    </w:tcPr>
    <w:tblStylePr w:type="firstRow">
      <w:pPr>
        <w:jc w:val="center"/>
      </w:pPr>
      <w:rPr>
        <w:rFonts w:asciiTheme="majorHAnsi" w:hAnsiTheme="majorHAnsi"/>
        <w:b/>
        <w:caps/>
        <w:smallCaps w:val="0"/>
        <w:sz w:val="18"/>
      </w:rPr>
      <w:tblPr/>
      <w:trPr>
        <w:cantSplit w:val="0"/>
        <w:tblHeader/>
      </w:trPr>
      <w:tcPr>
        <w:shd w:val="clear" w:color="auto" w:fill="FEEC00" w:themeFill="accent1"/>
        <w:vAlign w:val="center"/>
      </w:tcPr>
    </w:tblStylePr>
    <w:tblStylePr w:type="lastRow">
      <w:pPr>
        <w:jc w:val="left"/>
      </w:pPr>
      <w:rPr>
        <w:rFonts w:asciiTheme="minorHAnsi" w:hAnsiTheme="minorHAnsi"/>
        <w:b w:val="0"/>
        <w:sz w:val="18"/>
      </w:rPr>
      <w:tblPr/>
      <w:tcPr>
        <w:shd w:val="clear" w:color="auto" w:fill="FFF798" w:themeFill="accent1" w:themeFillTint="66"/>
      </w:tcPr>
    </w:tblStylePr>
    <w:tblStylePr w:type="firstCol">
      <w:pPr>
        <w:jc w:val="left"/>
      </w:pPr>
      <w:rPr>
        <w:rFonts w:asciiTheme="minorHAnsi" w:hAnsiTheme="minorHAnsi"/>
        <w:b w:val="0"/>
        <w:caps w:val="0"/>
        <w:smallCaps w:val="0"/>
        <w:sz w:val="18"/>
      </w:rPr>
      <w:tblPr/>
      <w:tcPr>
        <w:shd w:val="clear" w:color="auto" w:fill="FFF798" w:themeFill="accent1" w:themeFillTint="66"/>
      </w:tcPr>
    </w:tblStylePr>
    <w:tblStylePr w:type="lastCol">
      <w:pPr>
        <w:jc w:val="left"/>
      </w:pPr>
      <w:rPr>
        <w:rFonts w:asciiTheme="minorHAnsi" w:hAnsiTheme="minorHAnsi"/>
        <w:b w:val="0"/>
        <w:sz w:val="18"/>
      </w:rPr>
    </w:tblStylePr>
    <w:tblStylePr w:type="band2Vert">
      <w:rPr>
        <w:color w:val="3C3D3C" w:themeColor="text2"/>
      </w:rPr>
      <w:tblPr/>
      <w:tcPr>
        <w:shd w:val="clear" w:color="auto" w:fill="FFFBCB" w:themeFill="accent1" w:themeFillTint="33"/>
      </w:tcPr>
    </w:tblStylePr>
    <w:tblStylePr w:type="band2Horz">
      <w:tblPr/>
      <w:tcPr>
        <w:shd w:val="clear" w:color="auto" w:fill="FFFBCB" w:themeFill="accent1" w:themeFillTint="33"/>
      </w:tcPr>
    </w:tblStylePr>
  </w:style>
  <w:style w:type="paragraph" w:customStyle="1" w:styleId="KK-titel">
    <w:name w:val="KK-titel"/>
    <w:basedOn w:val="Standaard"/>
    <w:next w:val="KK-tekst"/>
    <w:uiPriority w:val="5"/>
    <w:qFormat/>
    <w:rsid w:val="008D0BD2"/>
    <w:rPr>
      <w:b/>
      <w:color w:val="BEAF00" w:themeColor="accent1" w:themeShade="BF"/>
      <w:sz w:val="18"/>
    </w:rPr>
  </w:style>
  <w:style w:type="paragraph" w:customStyle="1" w:styleId="KK-tekst">
    <w:name w:val="KK-tekst"/>
    <w:basedOn w:val="Opsomming"/>
    <w:uiPriority w:val="6"/>
    <w:qFormat/>
    <w:rsid w:val="0077361B"/>
    <w:pPr>
      <w:spacing w:line="240" w:lineRule="auto"/>
    </w:pPr>
    <w:rPr>
      <w:rFonts w:asciiTheme="minorHAnsi" w:hAnsiTheme="minorHAnsi"/>
      <w:sz w:val="18"/>
    </w:rPr>
  </w:style>
  <w:style w:type="table" w:customStyle="1" w:styleId="I20Ontwikkelingsschalen">
    <w:name w:val="I20_Ontwikkelingsschalen"/>
    <w:basedOn w:val="VOI-tabel"/>
    <w:uiPriority w:val="99"/>
    <w:rsid w:val="006C3D33"/>
    <w:pPr>
      <w:jc w:val="left"/>
    </w:pPr>
    <w:rPr>
      <w:sz w:val="18"/>
    </w:rPr>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rPr>
      <w:cantSplit/>
      <w:jc w:val="center"/>
    </w:trPr>
    <w:tcPr>
      <w:shd w:val="clear" w:color="auto" w:fill="FFFBCB" w:themeFill="accent1" w:themeFillTint="33"/>
      <w:vAlign w:val="center"/>
    </w:tcPr>
    <w:tblStylePr w:type="firstRow">
      <w:pPr>
        <w:jc w:val="center"/>
      </w:pPr>
      <w:rPr>
        <w:rFonts w:asciiTheme="majorHAnsi" w:hAnsiTheme="majorHAnsi"/>
        <w:b/>
        <w:caps/>
        <w:smallCaps w:val="0"/>
        <w:sz w:val="18"/>
      </w:rPr>
      <w:tblPr/>
      <w:trPr>
        <w:cantSplit w:val="0"/>
        <w:tblHeader/>
      </w:trPr>
      <w:tcPr>
        <w:shd w:val="clear" w:color="auto" w:fill="FEEC00" w:themeFill="accent1"/>
        <w:vAlign w:val="center"/>
      </w:tcPr>
    </w:tblStylePr>
    <w:tblStylePr w:type="lastRow">
      <w:pPr>
        <w:jc w:val="left"/>
      </w:pPr>
      <w:rPr>
        <w:rFonts w:asciiTheme="minorHAnsi" w:hAnsiTheme="minorHAnsi"/>
        <w:b w:val="0"/>
        <w:sz w:val="18"/>
      </w:rPr>
      <w:tblPr/>
      <w:tcPr>
        <w:shd w:val="clear" w:color="auto" w:fill="FFF798" w:themeFill="accent1" w:themeFillTint="66"/>
      </w:tcPr>
    </w:tblStylePr>
    <w:tblStylePr w:type="firstCol">
      <w:pPr>
        <w:jc w:val="left"/>
      </w:pPr>
      <w:rPr>
        <w:rFonts w:asciiTheme="minorHAnsi" w:hAnsiTheme="minorHAnsi"/>
        <w:b w:val="0"/>
        <w:caps w:val="0"/>
        <w:smallCaps w:val="0"/>
        <w:sz w:val="18"/>
      </w:rPr>
      <w:tblPr/>
      <w:tcPr>
        <w:shd w:val="clear" w:color="auto" w:fill="FFF798" w:themeFill="accent1" w:themeFillTint="66"/>
      </w:tcPr>
    </w:tblStylePr>
    <w:tblStylePr w:type="lastCol">
      <w:pPr>
        <w:jc w:val="left"/>
      </w:pPr>
      <w:rPr>
        <w:rFonts w:asciiTheme="minorHAnsi" w:hAnsiTheme="minorHAnsi"/>
        <w:b w:val="0"/>
        <w:sz w:val="18"/>
      </w:rPr>
    </w:tblStylePr>
    <w:tblStylePr w:type="band2Vert">
      <w:rPr>
        <w:color w:val="3C3D3C" w:themeColor="text2"/>
      </w:rPr>
      <w:tblPr/>
      <w:tcPr>
        <w:shd w:val="clear" w:color="auto" w:fill="FFFBCB" w:themeFill="accent1" w:themeFillTint="33"/>
      </w:tcPr>
    </w:tblStylePr>
    <w:tblStylePr w:type="band2Horz">
      <w:tblPr/>
      <w:tcPr>
        <w:shd w:val="clear" w:color="auto" w:fill="FFFBCB" w:themeFill="accent1" w:themeFillTint="33"/>
      </w:tcPr>
    </w:tblStylePr>
  </w:style>
  <w:style w:type="paragraph" w:customStyle="1" w:styleId="Regelgeving">
    <w:name w:val="Regelgeving"/>
    <w:basedOn w:val="Lijstalinea"/>
    <w:uiPriority w:val="2"/>
    <w:qFormat/>
    <w:rsid w:val="00140113"/>
    <w:pPr>
      <w:numPr>
        <w:numId w:val="6"/>
      </w:numPr>
      <w:spacing w:after="60" w:line="216" w:lineRule="auto"/>
      <w:ind w:left="709" w:hanging="142"/>
    </w:pPr>
    <w:rPr>
      <w:rFonts w:asciiTheme="minorHAnsi" w:hAnsiTheme="minorHAnsi"/>
      <w:sz w:val="18"/>
    </w:rPr>
  </w:style>
  <w:style w:type="paragraph" w:styleId="Lijstalinea">
    <w:name w:val="List Paragraph"/>
    <w:basedOn w:val="Standaard"/>
    <w:uiPriority w:val="34"/>
    <w:qFormat/>
    <w:rsid w:val="000660B9"/>
    <w:pPr>
      <w:ind w:left="720"/>
      <w:contextualSpacing/>
    </w:pPr>
  </w:style>
  <w:style w:type="paragraph" w:customStyle="1" w:styleId="KK-specifieketekst">
    <w:name w:val="KK-specifieke_tekst"/>
    <w:basedOn w:val="KK-tekst"/>
    <w:uiPriority w:val="8"/>
    <w:qFormat/>
    <w:rsid w:val="0065387C"/>
    <w:pPr>
      <w:numPr>
        <w:numId w:val="0"/>
      </w:numPr>
      <w:ind w:left="425" w:hanging="425"/>
    </w:pPr>
    <w:rPr>
      <w:rFonts w:eastAsiaTheme="minorHAnsi" w:cstheme="minorBidi"/>
      <w:color w:val="4F81BD" w:themeColor="accent3"/>
      <w:lang w:eastAsia="en-US"/>
    </w:rPr>
  </w:style>
  <w:style w:type="paragraph" w:customStyle="1" w:styleId="KK-specifieketitel">
    <w:name w:val="KK-specifieke_titel"/>
    <w:basedOn w:val="KK-titel"/>
    <w:uiPriority w:val="7"/>
    <w:qFormat/>
    <w:rsid w:val="0065387C"/>
    <w:pPr>
      <w:spacing w:line="240" w:lineRule="auto"/>
    </w:pPr>
    <w:rPr>
      <w:rFonts w:asciiTheme="minorHAnsi" w:eastAsiaTheme="minorHAnsi" w:hAnsiTheme="minorHAnsi" w:cstheme="minorBidi"/>
      <w:color w:val="4F81BD" w:themeColor="accent3"/>
      <w:lang w:eastAsia="en-US"/>
    </w:rPr>
  </w:style>
  <w:style w:type="paragraph" w:styleId="Revisie">
    <w:name w:val="Revision"/>
    <w:hidden/>
    <w:uiPriority w:val="99"/>
    <w:semiHidden/>
    <w:rsid w:val="00F007A4"/>
    <w:pPr>
      <w:spacing w:line="240" w:lineRule="auto"/>
    </w:pPr>
  </w:style>
  <w:style w:type="paragraph" w:styleId="Normaalweb">
    <w:name w:val="Normal (Web)"/>
    <w:basedOn w:val="Standaard"/>
    <w:uiPriority w:val="99"/>
    <w:semiHidden/>
    <w:unhideWhenUsed/>
    <w:rsid w:val="00C40C2E"/>
    <w:pPr>
      <w:spacing w:before="100" w:beforeAutospacing="1" w:after="100" w:afterAutospacing="1" w:line="240" w:lineRule="auto"/>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1238">
      <w:bodyDiv w:val="1"/>
      <w:marLeft w:val="0"/>
      <w:marRight w:val="0"/>
      <w:marTop w:val="0"/>
      <w:marBottom w:val="0"/>
      <w:divBdr>
        <w:top w:val="none" w:sz="0" w:space="0" w:color="auto"/>
        <w:left w:val="none" w:sz="0" w:space="0" w:color="auto"/>
        <w:bottom w:val="none" w:sz="0" w:space="0" w:color="auto"/>
        <w:right w:val="none" w:sz="0" w:space="0" w:color="auto"/>
      </w:divBdr>
    </w:div>
    <w:div w:id="112479533">
      <w:bodyDiv w:val="1"/>
      <w:marLeft w:val="0"/>
      <w:marRight w:val="0"/>
      <w:marTop w:val="0"/>
      <w:marBottom w:val="0"/>
      <w:divBdr>
        <w:top w:val="none" w:sz="0" w:space="0" w:color="auto"/>
        <w:left w:val="none" w:sz="0" w:space="0" w:color="auto"/>
        <w:bottom w:val="none" w:sz="0" w:space="0" w:color="auto"/>
        <w:right w:val="none" w:sz="0" w:space="0" w:color="auto"/>
      </w:divBdr>
    </w:div>
    <w:div w:id="275479449">
      <w:bodyDiv w:val="1"/>
      <w:marLeft w:val="0"/>
      <w:marRight w:val="0"/>
      <w:marTop w:val="0"/>
      <w:marBottom w:val="0"/>
      <w:divBdr>
        <w:top w:val="none" w:sz="0" w:space="0" w:color="auto"/>
        <w:left w:val="none" w:sz="0" w:space="0" w:color="auto"/>
        <w:bottom w:val="none" w:sz="0" w:space="0" w:color="auto"/>
        <w:right w:val="none" w:sz="0" w:space="0" w:color="auto"/>
      </w:divBdr>
    </w:div>
    <w:div w:id="392580481">
      <w:bodyDiv w:val="1"/>
      <w:marLeft w:val="0"/>
      <w:marRight w:val="0"/>
      <w:marTop w:val="0"/>
      <w:marBottom w:val="0"/>
      <w:divBdr>
        <w:top w:val="none" w:sz="0" w:space="0" w:color="auto"/>
        <w:left w:val="none" w:sz="0" w:space="0" w:color="auto"/>
        <w:bottom w:val="none" w:sz="0" w:space="0" w:color="auto"/>
        <w:right w:val="none" w:sz="0" w:space="0" w:color="auto"/>
      </w:divBdr>
      <w:divsChild>
        <w:div w:id="296187256">
          <w:marLeft w:val="0"/>
          <w:marRight w:val="0"/>
          <w:marTop w:val="0"/>
          <w:marBottom w:val="0"/>
          <w:divBdr>
            <w:top w:val="none" w:sz="0" w:space="0" w:color="auto"/>
            <w:left w:val="none" w:sz="0" w:space="0" w:color="auto"/>
            <w:bottom w:val="none" w:sz="0" w:space="0" w:color="auto"/>
            <w:right w:val="none" w:sz="0" w:space="0" w:color="auto"/>
          </w:divBdr>
        </w:div>
      </w:divsChild>
    </w:div>
    <w:div w:id="523788684">
      <w:bodyDiv w:val="1"/>
      <w:marLeft w:val="0"/>
      <w:marRight w:val="0"/>
      <w:marTop w:val="0"/>
      <w:marBottom w:val="0"/>
      <w:divBdr>
        <w:top w:val="none" w:sz="0" w:space="0" w:color="auto"/>
        <w:left w:val="none" w:sz="0" w:space="0" w:color="auto"/>
        <w:bottom w:val="none" w:sz="0" w:space="0" w:color="auto"/>
        <w:right w:val="none" w:sz="0" w:space="0" w:color="auto"/>
      </w:divBdr>
    </w:div>
    <w:div w:id="540901335">
      <w:bodyDiv w:val="1"/>
      <w:marLeft w:val="0"/>
      <w:marRight w:val="0"/>
      <w:marTop w:val="0"/>
      <w:marBottom w:val="0"/>
      <w:divBdr>
        <w:top w:val="none" w:sz="0" w:space="0" w:color="auto"/>
        <w:left w:val="none" w:sz="0" w:space="0" w:color="auto"/>
        <w:bottom w:val="none" w:sz="0" w:space="0" w:color="auto"/>
        <w:right w:val="none" w:sz="0" w:space="0" w:color="auto"/>
      </w:divBdr>
    </w:div>
    <w:div w:id="543560572">
      <w:bodyDiv w:val="1"/>
      <w:marLeft w:val="0"/>
      <w:marRight w:val="0"/>
      <w:marTop w:val="0"/>
      <w:marBottom w:val="0"/>
      <w:divBdr>
        <w:top w:val="none" w:sz="0" w:space="0" w:color="auto"/>
        <w:left w:val="none" w:sz="0" w:space="0" w:color="auto"/>
        <w:bottom w:val="none" w:sz="0" w:space="0" w:color="auto"/>
        <w:right w:val="none" w:sz="0" w:space="0" w:color="auto"/>
      </w:divBdr>
    </w:div>
    <w:div w:id="620918701">
      <w:bodyDiv w:val="1"/>
      <w:marLeft w:val="0"/>
      <w:marRight w:val="0"/>
      <w:marTop w:val="0"/>
      <w:marBottom w:val="0"/>
      <w:divBdr>
        <w:top w:val="none" w:sz="0" w:space="0" w:color="auto"/>
        <w:left w:val="none" w:sz="0" w:space="0" w:color="auto"/>
        <w:bottom w:val="none" w:sz="0" w:space="0" w:color="auto"/>
        <w:right w:val="none" w:sz="0" w:space="0" w:color="auto"/>
      </w:divBdr>
    </w:div>
    <w:div w:id="663972841">
      <w:bodyDiv w:val="1"/>
      <w:marLeft w:val="0"/>
      <w:marRight w:val="0"/>
      <w:marTop w:val="0"/>
      <w:marBottom w:val="0"/>
      <w:divBdr>
        <w:top w:val="none" w:sz="0" w:space="0" w:color="auto"/>
        <w:left w:val="none" w:sz="0" w:space="0" w:color="auto"/>
        <w:bottom w:val="none" w:sz="0" w:space="0" w:color="auto"/>
        <w:right w:val="none" w:sz="0" w:space="0" w:color="auto"/>
      </w:divBdr>
    </w:div>
    <w:div w:id="704408287">
      <w:bodyDiv w:val="1"/>
      <w:marLeft w:val="0"/>
      <w:marRight w:val="0"/>
      <w:marTop w:val="0"/>
      <w:marBottom w:val="0"/>
      <w:divBdr>
        <w:top w:val="none" w:sz="0" w:space="0" w:color="auto"/>
        <w:left w:val="none" w:sz="0" w:space="0" w:color="auto"/>
        <w:bottom w:val="none" w:sz="0" w:space="0" w:color="auto"/>
        <w:right w:val="none" w:sz="0" w:space="0" w:color="auto"/>
      </w:divBdr>
    </w:div>
    <w:div w:id="812405463">
      <w:bodyDiv w:val="1"/>
      <w:marLeft w:val="0"/>
      <w:marRight w:val="0"/>
      <w:marTop w:val="0"/>
      <w:marBottom w:val="0"/>
      <w:divBdr>
        <w:top w:val="none" w:sz="0" w:space="0" w:color="auto"/>
        <w:left w:val="none" w:sz="0" w:space="0" w:color="auto"/>
        <w:bottom w:val="none" w:sz="0" w:space="0" w:color="auto"/>
        <w:right w:val="none" w:sz="0" w:space="0" w:color="auto"/>
      </w:divBdr>
    </w:div>
    <w:div w:id="821578156">
      <w:bodyDiv w:val="1"/>
      <w:marLeft w:val="0"/>
      <w:marRight w:val="0"/>
      <w:marTop w:val="0"/>
      <w:marBottom w:val="0"/>
      <w:divBdr>
        <w:top w:val="none" w:sz="0" w:space="0" w:color="auto"/>
        <w:left w:val="none" w:sz="0" w:space="0" w:color="auto"/>
        <w:bottom w:val="none" w:sz="0" w:space="0" w:color="auto"/>
        <w:right w:val="none" w:sz="0" w:space="0" w:color="auto"/>
      </w:divBdr>
    </w:div>
    <w:div w:id="885146860">
      <w:bodyDiv w:val="1"/>
      <w:marLeft w:val="0"/>
      <w:marRight w:val="0"/>
      <w:marTop w:val="0"/>
      <w:marBottom w:val="0"/>
      <w:divBdr>
        <w:top w:val="none" w:sz="0" w:space="0" w:color="auto"/>
        <w:left w:val="none" w:sz="0" w:space="0" w:color="auto"/>
        <w:bottom w:val="none" w:sz="0" w:space="0" w:color="auto"/>
        <w:right w:val="none" w:sz="0" w:space="0" w:color="auto"/>
      </w:divBdr>
    </w:div>
    <w:div w:id="973144337">
      <w:bodyDiv w:val="1"/>
      <w:marLeft w:val="0"/>
      <w:marRight w:val="0"/>
      <w:marTop w:val="0"/>
      <w:marBottom w:val="0"/>
      <w:divBdr>
        <w:top w:val="none" w:sz="0" w:space="0" w:color="auto"/>
        <w:left w:val="none" w:sz="0" w:space="0" w:color="auto"/>
        <w:bottom w:val="none" w:sz="0" w:space="0" w:color="auto"/>
        <w:right w:val="none" w:sz="0" w:space="0" w:color="auto"/>
      </w:divBdr>
    </w:div>
    <w:div w:id="998846359">
      <w:bodyDiv w:val="1"/>
      <w:marLeft w:val="0"/>
      <w:marRight w:val="0"/>
      <w:marTop w:val="0"/>
      <w:marBottom w:val="0"/>
      <w:divBdr>
        <w:top w:val="none" w:sz="0" w:space="0" w:color="auto"/>
        <w:left w:val="none" w:sz="0" w:space="0" w:color="auto"/>
        <w:bottom w:val="none" w:sz="0" w:space="0" w:color="auto"/>
        <w:right w:val="none" w:sz="0" w:space="0" w:color="auto"/>
      </w:divBdr>
    </w:div>
    <w:div w:id="1039166851">
      <w:bodyDiv w:val="1"/>
      <w:marLeft w:val="0"/>
      <w:marRight w:val="0"/>
      <w:marTop w:val="0"/>
      <w:marBottom w:val="0"/>
      <w:divBdr>
        <w:top w:val="none" w:sz="0" w:space="0" w:color="auto"/>
        <w:left w:val="none" w:sz="0" w:space="0" w:color="auto"/>
        <w:bottom w:val="none" w:sz="0" w:space="0" w:color="auto"/>
        <w:right w:val="none" w:sz="0" w:space="0" w:color="auto"/>
      </w:divBdr>
    </w:div>
    <w:div w:id="1191992804">
      <w:bodyDiv w:val="1"/>
      <w:marLeft w:val="0"/>
      <w:marRight w:val="0"/>
      <w:marTop w:val="0"/>
      <w:marBottom w:val="0"/>
      <w:divBdr>
        <w:top w:val="none" w:sz="0" w:space="0" w:color="auto"/>
        <w:left w:val="none" w:sz="0" w:space="0" w:color="auto"/>
        <w:bottom w:val="none" w:sz="0" w:space="0" w:color="auto"/>
        <w:right w:val="none" w:sz="0" w:space="0" w:color="auto"/>
      </w:divBdr>
    </w:div>
    <w:div w:id="1298102245">
      <w:bodyDiv w:val="1"/>
      <w:marLeft w:val="0"/>
      <w:marRight w:val="0"/>
      <w:marTop w:val="0"/>
      <w:marBottom w:val="0"/>
      <w:divBdr>
        <w:top w:val="none" w:sz="0" w:space="0" w:color="auto"/>
        <w:left w:val="none" w:sz="0" w:space="0" w:color="auto"/>
        <w:bottom w:val="none" w:sz="0" w:space="0" w:color="auto"/>
        <w:right w:val="none" w:sz="0" w:space="0" w:color="auto"/>
      </w:divBdr>
    </w:div>
    <w:div w:id="1332829592">
      <w:bodyDiv w:val="1"/>
      <w:marLeft w:val="0"/>
      <w:marRight w:val="0"/>
      <w:marTop w:val="0"/>
      <w:marBottom w:val="0"/>
      <w:divBdr>
        <w:top w:val="none" w:sz="0" w:space="0" w:color="auto"/>
        <w:left w:val="none" w:sz="0" w:space="0" w:color="auto"/>
        <w:bottom w:val="none" w:sz="0" w:space="0" w:color="auto"/>
        <w:right w:val="none" w:sz="0" w:space="0" w:color="auto"/>
      </w:divBdr>
    </w:div>
    <w:div w:id="1344891091">
      <w:bodyDiv w:val="1"/>
      <w:marLeft w:val="0"/>
      <w:marRight w:val="0"/>
      <w:marTop w:val="0"/>
      <w:marBottom w:val="0"/>
      <w:divBdr>
        <w:top w:val="none" w:sz="0" w:space="0" w:color="auto"/>
        <w:left w:val="none" w:sz="0" w:space="0" w:color="auto"/>
        <w:bottom w:val="none" w:sz="0" w:space="0" w:color="auto"/>
        <w:right w:val="none" w:sz="0" w:space="0" w:color="auto"/>
      </w:divBdr>
    </w:div>
    <w:div w:id="1416248617">
      <w:bodyDiv w:val="1"/>
      <w:marLeft w:val="0"/>
      <w:marRight w:val="0"/>
      <w:marTop w:val="0"/>
      <w:marBottom w:val="0"/>
      <w:divBdr>
        <w:top w:val="none" w:sz="0" w:space="0" w:color="auto"/>
        <w:left w:val="none" w:sz="0" w:space="0" w:color="auto"/>
        <w:bottom w:val="none" w:sz="0" w:space="0" w:color="auto"/>
        <w:right w:val="none" w:sz="0" w:space="0" w:color="auto"/>
      </w:divBdr>
    </w:div>
    <w:div w:id="1907491782">
      <w:bodyDiv w:val="1"/>
      <w:marLeft w:val="0"/>
      <w:marRight w:val="0"/>
      <w:marTop w:val="0"/>
      <w:marBottom w:val="0"/>
      <w:divBdr>
        <w:top w:val="none" w:sz="0" w:space="0" w:color="auto"/>
        <w:left w:val="none" w:sz="0" w:space="0" w:color="auto"/>
        <w:bottom w:val="none" w:sz="0" w:space="0" w:color="auto"/>
        <w:right w:val="none" w:sz="0" w:space="0" w:color="auto"/>
      </w:divBdr>
    </w:div>
    <w:div w:id="1962177549">
      <w:bodyDiv w:val="1"/>
      <w:marLeft w:val="0"/>
      <w:marRight w:val="0"/>
      <w:marTop w:val="0"/>
      <w:marBottom w:val="0"/>
      <w:divBdr>
        <w:top w:val="none" w:sz="0" w:space="0" w:color="auto"/>
        <w:left w:val="none" w:sz="0" w:space="0" w:color="auto"/>
        <w:bottom w:val="none" w:sz="0" w:space="0" w:color="auto"/>
        <w:right w:val="none" w:sz="0" w:space="0" w:color="auto"/>
      </w:divBdr>
    </w:div>
    <w:div w:id="200724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2.xml"/><Relationship Id="rId7" Type="http://schemas.openxmlformats.org/officeDocument/2006/relationships/settings" Target="settings.xml"/><Relationship Id="rId16" Type="http://schemas.openxmlformats.org/officeDocument/2006/relationships/header" Target="header2.xml"/><Relationship Id="rId2" Type="http://schemas.openxmlformats.org/officeDocument/2006/relationships/customXml" Target="../customXml/item2.xml"/><Relationship Id="rId11"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VOI">
  <a:themeElements>
    <a:clrScheme name="VOI">
      <a:dk1>
        <a:srgbClr val="000000"/>
      </a:dk1>
      <a:lt1>
        <a:srgbClr val="FFFFFF"/>
      </a:lt1>
      <a:dk2>
        <a:srgbClr val="3C3D3C"/>
      </a:dk2>
      <a:lt2>
        <a:srgbClr val="EEEEE7"/>
      </a:lt2>
      <a:accent1>
        <a:srgbClr val="FEEC00"/>
      </a:accent1>
      <a:accent2>
        <a:srgbClr val="FFC000"/>
      </a:accent2>
      <a:accent3>
        <a:srgbClr val="4F81BD"/>
      </a:accent3>
      <a:accent4>
        <a:srgbClr val="C0504D"/>
      </a:accent4>
      <a:accent5>
        <a:srgbClr val="9BBB59"/>
      </a:accent5>
      <a:accent6>
        <a:srgbClr val="8064A2"/>
      </a:accent6>
      <a:hlink>
        <a:srgbClr val="0000FF"/>
      </a:hlink>
      <a:folHlink>
        <a:srgbClr val="800080"/>
      </a:folHlink>
    </a:clrScheme>
    <a:fontScheme name="VOI">
      <a:majorFont>
        <a:latin typeface="Calibri Bold"/>
        <a:ea typeface=""/>
        <a:cs typeface="Calibri"/>
      </a:majorFont>
      <a:minorFont>
        <a:latin typeface="Calibri"/>
        <a:ea typeface=""/>
        <a:cs typeface="Calibri"/>
      </a:minorFont>
    </a:fontScheme>
    <a:fmtScheme name="Elementair">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3BA3184687254AA08B3ED70F83D5CF" ma:contentTypeVersion="12" ma:contentTypeDescription="Een nieuw document maken." ma:contentTypeScope="" ma:versionID="b1b5a73b632377a0788b5354c3de9841">
  <xsd:schema xmlns:xsd="http://www.w3.org/2001/XMLSchema" xmlns:xs="http://www.w3.org/2001/XMLSchema" xmlns:p="http://schemas.microsoft.com/office/2006/metadata/properties" xmlns:ns2="d5581411-8ce8-49be-bc47-6268ad314447" xmlns:ns3="21360afe-7cde-4861-837c-9cc3c5a394d3" targetNamespace="http://schemas.microsoft.com/office/2006/metadata/properties" ma:root="true" ma:fieldsID="aab8e079ab5dda29660ab40c1d86e9e1" ns2:_="" ns3:_="">
    <xsd:import namespace="d5581411-8ce8-49be-bc47-6268ad314447"/>
    <xsd:import namespace="21360afe-7cde-4861-837c-9cc3c5a394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81411-8ce8-49be-bc47-6268ad314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360afe-7cde-4861-837c-9cc3c5a394d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CC4A2C-0053-4C07-8496-A4C6B437D326}">
  <ds:schemaRefs>
    <ds:schemaRef ds:uri="http://schemas.microsoft.com/sharepoint/v3/contenttype/forms"/>
  </ds:schemaRefs>
</ds:datastoreItem>
</file>

<file path=customXml/itemProps2.xml><?xml version="1.0" encoding="utf-8"?>
<ds:datastoreItem xmlns:ds="http://schemas.openxmlformats.org/officeDocument/2006/customXml" ds:itemID="{064653D3-7449-4D95-A1D5-AF78415089D7}"/>
</file>

<file path=customXml/itemProps3.xml><?xml version="1.0" encoding="utf-8"?>
<ds:datastoreItem xmlns:ds="http://schemas.openxmlformats.org/officeDocument/2006/customXml" ds:itemID="{0ECEFEC3-F6DF-41C1-ADBA-DE43A50304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BB5024-0B23-8641-A2A1-6FF1F62EC70B}">
  <ds:schemaRefs>
    <ds:schemaRef ds:uri="http://schemas.openxmlformats.org/officeDocument/2006/bibliography"/>
  </ds:schemaRefs>
</ds:datastoreItem>
</file>

<file path=customXml/itemProps5.xml><?xml version="1.0" encoding="utf-8"?>
<ds:datastoreItem xmlns:ds="http://schemas.openxmlformats.org/officeDocument/2006/customXml" ds:itemID="{8EE4F201-F70B-467F-8580-44DC77ACA7F3}"/>
</file>

<file path=docProps/app.xml><?xml version="1.0" encoding="utf-8"?>
<Properties xmlns="http://schemas.openxmlformats.org/officeDocument/2006/extended-properties" xmlns:vt="http://schemas.openxmlformats.org/officeDocument/2006/docPropsVTypes">
  <Template>Normal.dotm</Template>
  <TotalTime>0</TotalTime>
  <Pages>6</Pages>
  <Words>1412</Words>
  <Characters>7768</Characters>
  <Application>Microsoft Macintosh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LuDL</dc:creator>
  <cp:keywords/>
  <cp:lastModifiedBy>Liesbet Criel</cp:lastModifiedBy>
  <cp:revision>2</cp:revision>
  <cp:lastPrinted>2019-07-17T09:52:00Z</cp:lastPrinted>
  <dcterms:created xsi:type="dcterms:W3CDTF">2020-02-25T11:58:00Z</dcterms:created>
  <dcterms:modified xsi:type="dcterms:W3CDTF">2020-02-25T11:58:00Z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0x010100B73BA3184687254AA08B3ED70F83D5CF</vt:lpwstr>
  </property>
  <property fmtid="{D5CDD505-2E9C-101B-9397-08002B2CF9AE}" pid="3" name="functie">
    <vt:lpwstr>instrument</vt:lpwstr>
  </property>
  <property fmtid="{D5CDD505-2E9C-101B-9397-08002B2CF9AE}" pid="4" name="Order">
    <vt:r8>33900</vt:r8>
  </property>
  <property fmtid="{D5CDD505-2E9C-101B-9397-08002B2CF9AE}" pid="5" name="divisie">
    <vt:lpwstr>;#gbao;#glo;#</vt:lpwstr>
  </property>
  <property fmtid="{D5CDD505-2E9C-101B-9397-08002B2CF9AE}" pid="6" name="archief">
    <vt:lpwstr>neen</vt:lpwstr>
  </property>
  <property fmtid="{D5CDD505-2E9C-101B-9397-08002B2CF9AE}" pid="7" name="xd_Signature">
    <vt:bool>false</vt:bool>
  </property>
  <property fmtid="{D5CDD505-2E9C-101B-9397-08002B2CF9AE}" pid="8" name="xd_ProgID">
    <vt:lpwstr/>
  </property>
  <property fmtid="{D5CDD505-2E9C-101B-9397-08002B2CF9AE}" pid="9" name="dl-fase">
    <vt:lpwstr>;#tijdens;#</vt:lpwstr>
  </property>
  <property fmtid="{D5CDD505-2E9C-101B-9397-08002B2CF9AE}" pid="10" name="ComplianceAssetId">
    <vt:lpwstr/>
  </property>
  <property fmtid="{D5CDD505-2E9C-101B-9397-08002B2CF9AE}" pid="11" name="TemplateUrl">
    <vt:lpwstr/>
  </property>
  <property fmtid="{D5CDD505-2E9C-101B-9397-08002B2CF9AE}" pid="12" name="Onderzoek">
    <vt:lpwstr>;#Onderwijsleerpraktijk;#</vt:lpwstr>
  </property>
  <property fmtid="{D5CDD505-2E9C-101B-9397-08002B2CF9AE}" pid="13" name="AuthorIds_UIVersion_512">
    <vt:lpwstr>19</vt:lpwstr>
  </property>
  <property fmtid="{D5CDD505-2E9C-101B-9397-08002B2CF9AE}" pid="14" name="_dlc_DocIdItemGuid">
    <vt:lpwstr>01c9bbbf-c279-41f3-984b-9bd02fae598f</vt:lpwstr>
  </property>
</Properties>
</file>